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7B9E" w14:textId="77777777" w:rsidR="006E19B8" w:rsidRPr="00C124C8" w:rsidRDefault="006E19B8" w:rsidP="006E19B8">
      <w:pPr>
        <w:spacing w:line="276" w:lineRule="auto"/>
        <w:jc w:val="center"/>
        <w:rPr>
          <w:rFonts w:ascii="Book Antiqua" w:eastAsia="Calibri" w:hAnsi="Book Antiqua"/>
          <w:b/>
          <w:bCs/>
          <w:lang w:eastAsia="en-US"/>
        </w:rPr>
      </w:pPr>
      <w:r w:rsidRPr="00C124C8">
        <w:rPr>
          <w:rFonts w:ascii="Book Antiqua" w:eastAsia="Calibri" w:hAnsi="Book Antiqua"/>
          <w:b/>
          <w:bCs/>
          <w:lang w:eastAsia="en-US"/>
        </w:rPr>
        <w:t xml:space="preserve">CONVENIO </w:t>
      </w:r>
      <w:r w:rsidR="00FB7EE5" w:rsidRPr="00C124C8">
        <w:rPr>
          <w:rFonts w:ascii="Book Antiqua" w:eastAsia="Calibri" w:hAnsi="Book Antiqua"/>
          <w:b/>
          <w:bCs/>
          <w:lang w:eastAsia="en-US"/>
        </w:rPr>
        <w:t xml:space="preserve">MARCO </w:t>
      </w:r>
      <w:r w:rsidRPr="00C124C8">
        <w:rPr>
          <w:rFonts w:ascii="Book Antiqua" w:eastAsia="Calibri" w:hAnsi="Book Antiqua"/>
          <w:b/>
          <w:bCs/>
          <w:lang w:eastAsia="en-US"/>
        </w:rPr>
        <w:t xml:space="preserve">TRIPARTITO DE </w:t>
      </w:r>
      <w:r w:rsidR="00B977F2" w:rsidRPr="00C124C8">
        <w:rPr>
          <w:rFonts w:ascii="Book Antiqua" w:eastAsia="Calibri" w:hAnsi="Book Antiqua"/>
          <w:b/>
          <w:bCs/>
          <w:lang w:eastAsia="en-US"/>
        </w:rPr>
        <w:t>COOPERACIÓN ENTRE</w:t>
      </w:r>
      <w:r w:rsidRPr="00C124C8">
        <w:rPr>
          <w:rFonts w:ascii="Book Antiqua" w:eastAsia="Calibri" w:hAnsi="Book Antiqua"/>
          <w:b/>
          <w:bCs/>
          <w:lang w:eastAsia="en-US"/>
        </w:rPr>
        <w:t xml:space="preserve"> </w:t>
      </w:r>
    </w:p>
    <w:p w14:paraId="604035DC" w14:textId="77777777" w:rsidR="006E19B8" w:rsidRPr="00C124C8" w:rsidRDefault="006E19B8" w:rsidP="006E19B8">
      <w:pPr>
        <w:spacing w:line="276" w:lineRule="auto"/>
        <w:jc w:val="both"/>
        <w:rPr>
          <w:rFonts w:ascii="Book Antiqua" w:eastAsia="Calibri" w:hAnsi="Book Antiqua"/>
          <w:b/>
          <w:bCs/>
          <w:lang w:eastAsia="en-US"/>
        </w:rPr>
      </w:pPr>
    </w:p>
    <w:p w14:paraId="1A5F347B"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COMPARECIENTES:</w:t>
      </w:r>
    </w:p>
    <w:p w14:paraId="516D1A50"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b/>
          <w:bCs/>
          <w:lang w:val="es-ES" w:eastAsia="en-US"/>
        </w:rPr>
        <w:t xml:space="preserve">INTERVIENEN </w:t>
      </w:r>
      <w:r w:rsidRPr="00C124C8">
        <w:rPr>
          <w:rFonts w:ascii="Book Antiqua" w:eastAsia="Calibri" w:hAnsi="Book Antiqua"/>
          <w:lang w:val="es-ES" w:eastAsia="en-US"/>
        </w:rPr>
        <w:t xml:space="preserve">en la celebración del presente instrumento, por una parte, la </w:t>
      </w:r>
      <w:r w:rsidR="00C928EF">
        <w:rPr>
          <w:rFonts w:ascii="Book Antiqua" w:eastAsia="Calibri" w:hAnsi="Book Antiqua"/>
          <w:b/>
          <w:bCs/>
          <w:lang w:val="es-ES" w:eastAsia="en-US"/>
        </w:rPr>
        <w:t>XXXXXXXXXXXX</w:t>
      </w:r>
      <w:r w:rsidRPr="00C124C8">
        <w:rPr>
          <w:rFonts w:ascii="Book Antiqua" w:eastAsia="Calibri" w:hAnsi="Book Antiqua"/>
          <w:b/>
          <w:bCs/>
          <w:lang w:val="es-ES" w:eastAsia="en-US"/>
        </w:rPr>
        <w:t xml:space="preserve">, </w:t>
      </w:r>
      <w:r w:rsidRPr="00C124C8">
        <w:rPr>
          <w:rFonts w:ascii="Book Antiqua" w:eastAsia="Calibri" w:hAnsi="Book Antiqua"/>
          <w:lang w:val="es-ES" w:eastAsia="en-US"/>
        </w:rPr>
        <w:t xml:space="preserve">legalmente representada por el </w:t>
      </w:r>
      <w:r w:rsidR="00C928EF">
        <w:rPr>
          <w:rFonts w:ascii="Book Antiqua" w:eastAsia="Calibri" w:hAnsi="Book Antiqua"/>
          <w:b/>
          <w:bCs/>
          <w:lang w:val="es-ES" w:eastAsia="en-US"/>
        </w:rPr>
        <w:t>XXXXXXXXXXX</w:t>
      </w:r>
      <w:r w:rsidRPr="00C124C8">
        <w:rPr>
          <w:rFonts w:ascii="Book Antiqua" w:eastAsia="Calibri" w:hAnsi="Book Antiqua"/>
          <w:lang w:val="es-ES" w:eastAsia="en-US"/>
        </w:rPr>
        <w:t xml:space="preserve">, en su calidad de </w:t>
      </w:r>
      <w:r w:rsidR="00C928EF">
        <w:rPr>
          <w:rFonts w:ascii="Book Antiqua" w:eastAsia="Calibri" w:hAnsi="Book Antiqua"/>
          <w:b/>
          <w:bCs/>
          <w:lang w:val="es-ES" w:eastAsia="en-US"/>
        </w:rPr>
        <w:t>XXXXXXXXXXXXX</w:t>
      </w:r>
      <w:r w:rsidRPr="00C124C8">
        <w:rPr>
          <w:rFonts w:ascii="Book Antiqua" w:eastAsia="Calibri" w:hAnsi="Book Antiqua"/>
          <w:b/>
          <w:bCs/>
          <w:lang w:val="es-ES" w:eastAsia="en-US"/>
        </w:rPr>
        <w:t xml:space="preserve">, </w:t>
      </w:r>
      <w:r w:rsidR="003C2060" w:rsidRPr="00C124C8">
        <w:rPr>
          <w:rFonts w:ascii="Book Antiqua" w:eastAsia="Calibri" w:hAnsi="Book Antiqua"/>
          <w:bCs/>
          <w:lang w:val="es-ES" w:eastAsia="en-US"/>
        </w:rPr>
        <w:t xml:space="preserve">conforme copia certificada de la Acción de Personal Nro. EPA-EP-2021-380 de 04 de octubre de 2021, </w:t>
      </w:r>
      <w:r w:rsidRPr="00C124C8">
        <w:rPr>
          <w:rFonts w:ascii="Book Antiqua" w:eastAsia="Calibri" w:hAnsi="Book Antiqua"/>
          <w:lang w:val="es-ES" w:eastAsia="en-US"/>
        </w:rPr>
        <w:t xml:space="preserve">que en adelante dentro de este instrumento podrá denominarse </w:t>
      </w:r>
      <w:r w:rsidRPr="00C124C8">
        <w:rPr>
          <w:rFonts w:ascii="Book Antiqua" w:eastAsia="Calibri" w:hAnsi="Book Antiqua"/>
          <w:b/>
          <w:bCs/>
          <w:lang w:val="es-ES" w:eastAsia="en-US"/>
        </w:rPr>
        <w:t>“</w:t>
      </w:r>
      <w:r w:rsidR="00C928EF">
        <w:rPr>
          <w:rFonts w:ascii="Book Antiqua" w:eastAsia="Calibri" w:hAnsi="Book Antiqua"/>
          <w:b/>
          <w:bCs/>
          <w:lang w:val="es-ES" w:eastAsia="en-US"/>
        </w:rPr>
        <w:t>XXXXXXXXXXXX</w:t>
      </w:r>
      <w:r w:rsidRPr="00C124C8">
        <w:rPr>
          <w:rFonts w:ascii="Book Antiqua" w:eastAsia="Calibri" w:hAnsi="Book Antiqua"/>
          <w:b/>
          <w:bCs/>
          <w:lang w:val="es-ES" w:eastAsia="en-US"/>
        </w:rPr>
        <w:t>”</w:t>
      </w:r>
      <w:r w:rsidRPr="00C124C8">
        <w:rPr>
          <w:rFonts w:ascii="Book Antiqua" w:eastAsia="Calibri" w:hAnsi="Book Antiqua"/>
          <w:lang w:val="es-ES" w:eastAsia="en-US"/>
        </w:rPr>
        <w:t xml:space="preserve">; por otra, el </w:t>
      </w:r>
      <w:r w:rsidR="00C928EF">
        <w:rPr>
          <w:rFonts w:ascii="Book Antiqua" w:eastAsia="Calibri" w:hAnsi="Book Antiqua"/>
          <w:b/>
          <w:bCs/>
          <w:lang w:val="es-ES" w:eastAsia="en-US"/>
        </w:rPr>
        <w:t>XXXXXXXXXXXXXXXXXXXXXX</w:t>
      </w:r>
      <w:r w:rsidR="000037B3" w:rsidRPr="00C124C8">
        <w:rPr>
          <w:rFonts w:ascii="Book Antiqua" w:eastAsia="Calibri" w:hAnsi="Book Antiqua"/>
          <w:b/>
          <w:bCs/>
          <w:lang w:val="es-ES" w:eastAsia="en-US"/>
        </w:rPr>
        <w:t xml:space="preserve">, </w:t>
      </w:r>
      <w:r w:rsidR="000037B3" w:rsidRPr="00C124C8">
        <w:rPr>
          <w:rFonts w:ascii="Book Antiqua" w:eastAsia="Calibri" w:hAnsi="Book Antiqua"/>
          <w:bCs/>
          <w:lang w:val="es-ES" w:eastAsia="en-US"/>
        </w:rPr>
        <w:t>legalmente</w:t>
      </w:r>
      <w:r w:rsidRPr="00C124C8">
        <w:rPr>
          <w:rFonts w:ascii="Book Antiqua" w:eastAsia="Calibri" w:hAnsi="Book Antiqua"/>
          <w:bCs/>
          <w:lang w:val="es-ES" w:eastAsia="en-US"/>
        </w:rPr>
        <w:t xml:space="preserve"> </w:t>
      </w:r>
      <w:r w:rsidRPr="00C124C8">
        <w:rPr>
          <w:rFonts w:ascii="Book Antiqua" w:eastAsia="Calibri" w:hAnsi="Book Antiqua"/>
          <w:lang w:val="es-ES" w:eastAsia="en-US"/>
        </w:rPr>
        <w:t xml:space="preserve">representado por la </w:t>
      </w:r>
      <w:r w:rsidR="00C928EF">
        <w:rPr>
          <w:rFonts w:ascii="Book Antiqua" w:eastAsia="Calibri" w:hAnsi="Book Antiqua"/>
          <w:b/>
          <w:bCs/>
          <w:lang w:val="es-ES" w:eastAsia="en-US"/>
        </w:rPr>
        <w:t>XXXXXXXXXXXXXX</w:t>
      </w:r>
      <w:r w:rsidR="000037B3" w:rsidRPr="00C124C8">
        <w:rPr>
          <w:rFonts w:ascii="Book Antiqua" w:eastAsia="Calibri" w:hAnsi="Book Antiqua"/>
          <w:b/>
          <w:bCs/>
          <w:lang w:eastAsia="en-US"/>
        </w:rPr>
        <w:t>,</w:t>
      </w:r>
      <w:r w:rsidR="000037B3" w:rsidRPr="00C124C8">
        <w:rPr>
          <w:rFonts w:ascii="Book Antiqua" w:hAnsi="Book Antiqua" w:cs="Calibri"/>
        </w:rPr>
        <w:t xml:space="preserve"> </w:t>
      </w:r>
      <w:r w:rsidRPr="00C124C8">
        <w:rPr>
          <w:rFonts w:ascii="Book Antiqua" w:eastAsia="Calibri" w:hAnsi="Book Antiqua"/>
          <w:lang w:val="es-ES" w:eastAsia="en-US"/>
        </w:rPr>
        <w:t xml:space="preserve">en su calidad de </w:t>
      </w:r>
      <w:r w:rsidR="00C928EF">
        <w:rPr>
          <w:rFonts w:ascii="Book Antiqua" w:eastAsia="Calibri" w:hAnsi="Book Antiqua"/>
          <w:b/>
          <w:bCs/>
          <w:lang w:val="es-ES" w:eastAsia="en-US"/>
        </w:rPr>
        <w:t>XXXXXXXXXXX</w:t>
      </w:r>
      <w:r w:rsidR="000037B3" w:rsidRPr="00C124C8">
        <w:rPr>
          <w:rFonts w:ascii="Book Antiqua" w:eastAsia="Calibri" w:hAnsi="Book Antiqua"/>
          <w:b/>
          <w:bCs/>
          <w:lang w:val="es-ES" w:eastAsia="en-US"/>
        </w:rPr>
        <w:t>,</w:t>
      </w:r>
      <w:r w:rsidRPr="00C124C8">
        <w:rPr>
          <w:rFonts w:ascii="Book Antiqua" w:eastAsia="Calibri" w:hAnsi="Book Antiqua"/>
          <w:b/>
          <w:bCs/>
          <w:lang w:val="es-ES" w:eastAsia="en-US"/>
        </w:rPr>
        <w:t xml:space="preserve"> </w:t>
      </w:r>
      <w:r w:rsidR="000037B3" w:rsidRPr="00C124C8">
        <w:rPr>
          <w:rFonts w:ascii="Book Antiqua" w:hAnsi="Book Antiqua" w:cs="Calibri"/>
        </w:rPr>
        <w:t>conforme Acción de Personal Nro. 0354 de 16 de marzo 2021 y delegación contenida en el Acuerdo Ministerial Nro. MAAE-2020-24 de 31 de agosto de 2020</w:t>
      </w:r>
      <w:r w:rsidR="000037B3" w:rsidRPr="00C124C8">
        <w:rPr>
          <w:rFonts w:ascii="Book Antiqua" w:eastAsia="Calibri" w:hAnsi="Book Antiqua"/>
          <w:b/>
          <w:bCs/>
          <w:lang w:eastAsia="en-US"/>
        </w:rPr>
        <w:t xml:space="preserve">, </w:t>
      </w:r>
      <w:r w:rsidRPr="00C124C8">
        <w:rPr>
          <w:rFonts w:ascii="Book Antiqua" w:eastAsia="Calibri" w:hAnsi="Book Antiqua"/>
          <w:lang w:val="es-ES" w:eastAsia="en-US"/>
        </w:rPr>
        <w:t xml:space="preserve">que en adelante dentro de este instrumento </w:t>
      </w:r>
      <w:r w:rsidR="00F17EF4" w:rsidRPr="00C124C8">
        <w:rPr>
          <w:rFonts w:ascii="Book Antiqua" w:eastAsia="Calibri" w:hAnsi="Book Antiqua"/>
          <w:lang w:val="es-ES" w:eastAsia="en-US"/>
        </w:rPr>
        <w:t>podrá</w:t>
      </w:r>
      <w:r w:rsidRPr="00C124C8">
        <w:rPr>
          <w:rFonts w:ascii="Book Antiqua" w:eastAsia="Calibri" w:hAnsi="Book Antiqua"/>
          <w:lang w:val="es-ES" w:eastAsia="en-US"/>
        </w:rPr>
        <w:t xml:space="preserve"> denominar</w:t>
      </w:r>
      <w:r w:rsidR="00F17EF4" w:rsidRPr="00C124C8">
        <w:rPr>
          <w:rFonts w:ascii="Book Antiqua" w:eastAsia="Calibri" w:hAnsi="Book Antiqua"/>
          <w:lang w:val="es-ES" w:eastAsia="en-US"/>
        </w:rPr>
        <w:t>se</w:t>
      </w:r>
      <w:r w:rsidRPr="00C124C8">
        <w:rPr>
          <w:rFonts w:ascii="Book Antiqua" w:eastAsia="Calibri" w:hAnsi="Book Antiqua"/>
          <w:lang w:val="es-ES" w:eastAsia="en-US"/>
        </w:rPr>
        <w:t xml:space="preserve"> </w:t>
      </w:r>
      <w:r w:rsidRPr="00C124C8">
        <w:rPr>
          <w:rFonts w:ascii="Book Antiqua" w:eastAsia="Calibri" w:hAnsi="Book Antiqua"/>
          <w:b/>
          <w:bCs/>
          <w:lang w:val="es-ES" w:eastAsia="en-US"/>
        </w:rPr>
        <w:t>“</w:t>
      </w:r>
      <w:r w:rsidR="00C928EF">
        <w:rPr>
          <w:rFonts w:ascii="Book Antiqua" w:eastAsia="Calibri" w:hAnsi="Book Antiqua"/>
          <w:b/>
          <w:bCs/>
          <w:lang w:val="es-ES" w:eastAsia="en-US"/>
        </w:rPr>
        <w:t>XXXXXXXX</w:t>
      </w:r>
      <w:r w:rsidRPr="00C124C8">
        <w:rPr>
          <w:rFonts w:ascii="Book Antiqua" w:eastAsia="Calibri" w:hAnsi="Book Antiqua"/>
          <w:b/>
          <w:bCs/>
          <w:lang w:val="es-ES" w:eastAsia="en-US"/>
        </w:rPr>
        <w:t>”</w:t>
      </w:r>
      <w:r w:rsidR="00C928EF">
        <w:rPr>
          <w:rFonts w:ascii="Book Antiqua" w:eastAsia="Calibri" w:hAnsi="Book Antiqua"/>
          <w:lang w:val="es-ES" w:eastAsia="en-US"/>
        </w:rPr>
        <w:t>.</w:t>
      </w:r>
    </w:p>
    <w:p w14:paraId="619761C7" w14:textId="77777777" w:rsidR="00195261" w:rsidRPr="00C124C8" w:rsidRDefault="00195261"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 xml:space="preserve">Quienes libre y voluntariamente </w:t>
      </w:r>
      <w:r w:rsidR="001232B0" w:rsidRPr="00C124C8">
        <w:rPr>
          <w:rFonts w:ascii="Book Antiqua" w:eastAsia="Calibri" w:hAnsi="Book Antiqua"/>
          <w:lang w:val="es-ES" w:eastAsia="en-US"/>
        </w:rPr>
        <w:t>en las calidades invocadas convienen en suscribir el presente Instrumento al tenor de las siguientes cláusulas:</w:t>
      </w:r>
    </w:p>
    <w:p w14:paraId="078EECA8"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CLÁUSULA PRIMERA: CONSIDERACI</w:t>
      </w:r>
      <w:r w:rsidR="0032091E" w:rsidRPr="00C124C8">
        <w:rPr>
          <w:rFonts w:ascii="Book Antiqua" w:eastAsia="Calibri" w:hAnsi="Book Antiqua"/>
          <w:b/>
          <w:bCs/>
          <w:lang w:eastAsia="en-US"/>
        </w:rPr>
        <w:t>O</w:t>
      </w:r>
      <w:r w:rsidRPr="00C124C8">
        <w:rPr>
          <w:rFonts w:ascii="Book Antiqua" w:eastAsia="Calibri" w:hAnsi="Book Antiqua"/>
          <w:b/>
          <w:bCs/>
          <w:lang w:eastAsia="en-US"/>
        </w:rPr>
        <w:t>N</w:t>
      </w:r>
      <w:r w:rsidR="0032091E" w:rsidRPr="00C124C8">
        <w:rPr>
          <w:rFonts w:ascii="Book Antiqua" w:eastAsia="Calibri" w:hAnsi="Book Antiqua"/>
          <w:b/>
          <w:bCs/>
          <w:lang w:eastAsia="en-US"/>
        </w:rPr>
        <w:t>ES</w:t>
      </w:r>
      <w:r w:rsidRPr="00C124C8">
        <w:rPr>
          <w:rFonts w:ascii="Book Antiqua" w:eastAsia="Calibri" w:hAnsi="Book Antiqua"/>
          <w:b/>
          <w:bCs/>
          <w:lang w:eastAsia="en-US"/>
        </w:rPr>
        <w:t xml:space="preserve"> NORMATIVA</w:t>
      </w:r>
      <w:r w:rsidR="0032091E" w:rsidRPr="00C124C8">
        <w:rPr>
          <w:rFonts w:ascii="Book Antiqua" w:eastAsia="Calibri" w:hAnsi="Book Antiqua"/>
          <w:b/>
          <w:bCs/>
          <w:lang w:eastAsia="en-US"/>
        </w:rPr>
        <w:t>S</w:t>
      </w:r>
      <w:r w:rsidR="0053318C" w:rsidRPr="00C124C8">
        <w:rPr>
          <w:rFonts w:ascii="Book Antiqua" w:eastAsia="Calibri" w:hAnsi="Book Antiqua"/>
          <w:b/>
          <w:bCs/>
          <w:lang w:eastAsia="en-US"/>
        </w:rPr>
        <w:t xml:space="preserve"> Y </w:t>
      </w:r>
      <w:r w:rsidR="009016AB" w:rsidRPr="00C124C8">
        <w:rPr>
          <w:rFonts w:ascii="Book Antiqua" w:eastAsia="Calibri" w:hAnsi="Book Antiqua"/>
          <w:b/>
          <w:bCs/>
          <w:lang w:eastAsia="en-US"/>
        </w:rPr>
        <w:t>ANTECEDENTES. -</w:t>
      </w:r>
    </w:p>
    <w:p w14:paraId="1119A8F3"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La Constitución de la República del Ecuador</w:t>
      </w:r>
      <w:r w:rsidR="001232B0" w:rsidRPr="00C124C8">
        <w:rPr>
          <w:rFonts w:ascii="Book Antiqua" w:eastAsia="Calibri" w:hAnsi="Book Antiqua"/>
          <w:lang w:val="es-ES" w:eastAsia="en-US"/>
        </w:rPr>
        <w:t>,</w:t>
      </w:r>
      <w:r w:rsidRPr="00C124C8">
        <w:rPr>
          <w:rFonts w:ascii="Book Antiqua" w:eastAsia="Calibri" w:hAnsi="Book Antiqua"/>
          <w:lang w:val="es-ES" w:eastAsia="en-US"/>
        </w:rPr>
        <w:t xml:space="preserve"> en el artículo 14 señala que: “</w:t>
      </w:r>
      <w:r w:rsidRPr="00C124C8">
        <w:rPr>
          <w:rFonts w:ascii="Book Antiqua" w:eastAsia="Calibri" w:hAnsi="Book Antiqua"/>
          <w:i/>
          <w:iCs/>
          <w:lang w:eastAsia="en-US"/>
        </w:rPr>
        <w:t>Se reconoce el derecho de la población a vivir en un ambiente sano y ecológicamente equilibrado, que garantice la sostenibilidad y el buen vivir, sumak kawsay. Se declara de interés público la preservación del ambiente, la conservación de los ecosistemas, la biodiversidad y la integridad del patrimonio genético del país, la prevención del daño ambiental y la recuperación de los espacios naturales degradados.</w:t>
      </w:r>
      <w:r w:rsidRPr="00C124C8">
        <w:rPr>
          <w:rFonts w:ascii="Book Antiqua" w:eastAsia="Calibri" w:hAnsi="Book Antiqua"/>
          <w:lang w:eastAsia="en-US"/>
        </w:rPr>
        <w:t>”</w:t>
      </w:r>
    </w:p>
    <w:p w14:paraId="2073236F"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 xml:space="preserve">La </w:t>
      </w:r>
      <w:r w:rsidR="001232B0" w:rsidRPr="00C124C8">
        <w:rPr>
          <w:rFonts w:ascii="Book Antiqua" w:eastAsia="Calibri" w:hAnsi="Book Antiqua"/>
          <w:lang w:val="es-ES" w:eastAsia="en-US"/>
        </w:rPr>
        <w:t xml:space="preserve">Constitución de la República del Ecuador </w:t>
      </w:r>
      <w:r w:rsidRPr="00C124C8">
        <w:rPr>
          <w:rFonts w:ascii="Book Antiqua" w:eastAsia="Calibri" w:hAnsi="Book Antiqua"/>
          <w:lang w:val="es-ES" w:eastAsia="en-US"/>
        </w:rPr>
        <w:t xml:space="preserve">en </w:t>
      </w:r>
      <w:r w:rsidR="001232B0" w:rsidRPr="00C124C8">
        <w:rPr>
          <w:rFonts w:ascii="Book Antiqua" w:eastAsia="Calibri" w:hAnsi="Book Antiqua"/>
          <w:lang w:val="es-ES" w:eastAsia="en-US"/>
        </w:rPr>
        <w:t>el</w:t>
      </w:r>
      <w:r w:rsidRPr="00C124C8">
        <w:rPr>
          <w:rFonts w:ascii="Book Antiqua" w:eastAsia="Calibri" w:hAnsi="Book Antiqua"/>
          <w:lang w:val="es-ES" w:eastAsia="en-US"/>
        </w:rPr>
        <w:t xml:space="preserve"> artículo 226, determina que</w:t>
      </w:r>
      <w:r w:rsidR="003708ED" w:rsidRPr="00C124C8">
        <w:rPr>
          <w:rFonts w:ascii="Book Antiqua" w:eastAsia="Calibri" w:hAnsi="Book Antiqua"/>
          <w:lang w:val="es-ES" w:eastAsia="en-US"/>
        </w:rPr>
        <w:t>: “</w:t>
      </w:r>
      <w:r w:rsidR="00E1106B" w:rsidRPr="00C124C8">
        <w:rPr>
          <w:rFonts w:ascii="Book Antiqua" w:eastAsia="Calibri" w:hAnsi="Book Antiqua"/>
          <w:i/>
          <w:iCs/>
          <w:lang w:val="es-ES" w:eastAsia="en-US"/>
        </w:rPr>
        <w:t xml:space="preserve">Las </w:t>
      </w:r>
      <w:r w:rsidRPr="00C124C8">
        <w:rPr>
          <w:rFonts w:ascii="Book Antiqua" w:eastAsia="Calibri" w:hAnsi="Book Antiqua"/>
          <w:i/>
          <w:iCs/>
          <w:lang w:val="es-ES" w:eastAsia="en-US"/>
        </w:rPr>
        <w:t>instituciones del Estado, sus organismos, dependencias, las servidoras o servidores públicos y las personas que actúen en virtud de una potestad estatal ejercerán solamente las competencias y las facultades que le sean atribuidas en la Constitución y ley.  Tendrán el deber de coordinar acciones para el cumplimiento de sus fines y hacer efectivo el goce y ejercicio de los derechos reconocidos en la Constitución.</w:t>
      </w:r>
      <w:r w:rsidRPr="00C124C8">
        <w:rPr>
          <w:rFonts w:ascii="Book Antiqua" w:eastAsia="Calibri" w:hAnsi="Book Antiqua"/>
          <w:lang w:val="es-ES" w:eastAsia="en-US"/>
        </w:rPr>
        <w:t>”</w:t>
      </w:r>
    </w:p>
    <w:p w14:paraId="7C2312CA"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El artículo 261 numerales 7 y 11 de la Constitución</w:t>
      </w:r>
      <w:r w:rsidR="00E1106B" w:rsidRPr="00C124C8">
        <w:rPr>
          <w:rFonts w:ascii="Book Antiqua" w:eastAsia="Calibri" w:hAnsi="Book Antiqua"/>
          <w:lang w:val="es-ES" w:eastAsia="en-US"/>
        </w:rPr>
        <w:t xml:space="preserve"> de la República del Ecuador</w:t>
      </w:r>
      <w:r w:rsidRPr="00C124C8">
        <w:rPr>
          <w:rFonts w:ascii="Book Antiqua" w:eastAsia="Calibri" w:hAnsi="Book Antiqua"/>
          <w:lang w:val="es-ES" w:eastAsia="en-US"/>
        </w:rPr>
        <w:t xml:space="preserve">, establece que el </w:t>
      </w:r>
      <w:r w:rsidR="00E1106B" w:rsidRPr="00C124C8">
        <w:rPr>
          <w:rFonts w:ascii="Book Antiqua" w:eastAsia="Calibri" w:hAnsi="Book Antiqua"/>
          <w:lang w:val="es-ES" w:eastAsia="en-US"/>
        </w:rPr>
        <w:t>Estado</w:t>
      </w:r>
      <w:r w:rsidRPr="00C124C8">
        <w:rPr>
          <w:rFonts w:ascii="Book Antiqua" w:eastAsia="Calibri" w:hAnsi="Book Antiqua"/>
          <w:lang w:val="es-ES" w:eastAsia="en-US"/>
        </w:rPr>
        <w:t xml:space="preserve"> Central, tendrá competencias exclusivas sobre las áreas naturales protegidas y los recursos naturales; así como de </w:t>
      </w:r>
      <w:r w:rsidRPr="00C124C8">
        <w:rPr>
          <w:rFonts w:ascii="Book Antiqua" w:eastAsia="Calibri" w:hAnsi="Book Antiqua"/>
          <w:lang w:eastAsia="en-US"/>
        </w:rPr>
        <w:t>los recursos energéticos, minerales, hidrocarburos, hídricos, biodiversidad y recursos forestales.</w:t>
      </w:r>
    </w:p>
    <w:p w14:paraId="6894DBCC"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val="es-ES" w:eastAsia="en-US"/>
        </w:rPr>
        <w:t xml:space="preserve">El artículo 313 de la </w:t>
      </w:r>
      <w:r w:rsidR="00E1106B" w:rsidRPr="00C124C8">
        <w:rPr>
          <w:rFonts w:ascii="Book Antiqua" w:eastAsia="Calibri" w:hAnsi="Book Antiqua"/>
          <w:lang w:val="es-ES" w:eastAsia="en-US"/>
        </w:rPr>
        <w:t>Constitución de la República del Ecuador</w:t>
      </w:r>
      <w:r w:rsidRPr="00C124C8">
        <w:rPr>
          <w:rFonts w:ascii="Book Antiqua" w:eastAsia="Calibri" w:hAnsi="Book Antiqua"/>
          <w:lang w:val="es-ES" w:eastAsia="en-US"/>
        </w:rPr>
        <w:t>, señala que: “</w:t>
      </w:r>
      <w:r w:rsidRPr="00C124C8">
        <w:rPr>
          <w:rFonts w:ascii="Book Antiqua" w:eastAsia="Calibri" w:hAnsi="Book Antiqua"/>
          <w:i/>
          <w:iCs/>
          <w:lang w:eastAsia="en-US"/>
        </w:rPr>
        <w:t xml:space="preserve">El Estado se reserva el derecho de administrar, regular, controlar y gestionar los sectores estratégicos, de conformidad con los principios de sostenibilidad ambiental, precaución, prevención y eficiencia. Los sectores estratégicos, de decisión y control exclusivo del Estado, son aquellos que por su trascendencia y magnitud tienen decisiva influencia económica, social, política o ambiental, y deberán orientarse al pleno desarrollo de los derechos y al interés social. Se consideran sectores estratégicos la energía en todas sus formas, las telecomunicaciones, los recursos naturales no renovables, el </w:t>
      </w:r>
      <w:r w:rsidRPr="00C124C8">
        <w:rPr>
          <w:rFonts w:ascii="Book Antiqua" w:eastAsia="Calibri" w:hAnsi="Book Antiqua"/>
          <w:i/>
          <w:iCs/>
          <w:lang w:eastAsia="en-US"/>
        </w:rPr>
        <w:lastRenderedPageBreak/>
        <w:t>transporte y la refinación de hidrocarburos, la biodiversidad y el patrimonio genético, el espectro radioeléctrico, el agua, y los demás que determine la ley.</w:t>
      </w:r>
      <w:r w:rsidRPr="00C124C8">
        <w:rPr>
          <w:rFonts w:ascii="Book Antiqua" w:eastAsia="Calibri" w:hAnsi="Book Antiqua"/>
          <w:lang w:eastAsia="en-US"/>
        </w:rPr>
        <w:t>”</w:t>
      </w:r>
    </w:p>
    <w:p w14:paraId="31C10A3C" w14:textId="77777777" w:rsidR="006E19B8" w:rsidRPr="00C124C8" w:rsidRDefault="006E19B8" w:rsidP="006E19B8">
      <w:pPr>
        <w:spacing w:line="276" w:lineRule="auto"/>
        <w:jc w:val="both"/>
        <w:rPr>
          <w:rFonts w:ascii="Book Antiqua" w:eastAsia="Calibri" w:hAnsi="Book Antiqua"/>
          <w:i/>
          <w:iCs/>
          <w:lang w:eastAsia="en-US"/>
        </w:rPr>
      </w:pPr>
      <w:r w:rsidRPr="00C124C8">
        <w:rPr>
          <w:rFonts w:ascii="Book Antiqua" w:eastAsia="Calibri" w:hAnsi="Book Antiqua"/>
          <w:lang w:eastAsia="en-US"/>
        </w:rPr>
        <w:t xml:space="preserve">La </w:t>
      </w:r>
      <w:r w:rsidR="00211D9D" w:rsidRPr="00C124C8">
        <w:rPr>
          <w:rFonts w:ascii="Book Antiqua" w:eastAsia="Calibri" w:hAnsi="Book Antiqua"/>
          <w:lang w:val="es-ES" w:eastAsia="en-US"/>
        </w:rPr>
        <w:t xml:space="preserve">Constitución de la República del Ecuador, </w:t>
      </w:r>
      <w:r w:rsidRPr="00C124C8">
        <w:rPr>
          <w:rFonts w:ascii="Book Antiqua" w:eastAsia="Calibri" w:hAnsi="Book Antiqua"/>
          <w:lang w:eastAsia="en-US"/>
        </w:rPr>
        <w:t xml:space="preserve">en </w:t>
      </w:r>
      <w:r w:rsidR="00211D9D" w:rsidRPr="00C124C8">
        <w:rPr>
          <w:rFonts w:ascii="Book Antiqua" w:eastAsia="Calibri" w:hAnsi="Book Antiqua"/>
          <w:lang w:eastAsia="en-US"/>
        </w:rPr>
        <w:t>el</w:t>
      </w:r>
      <w:r w:rsidRPr="00C124C8">
        <w:rPr>
          <w:rFonts w:ascii="Book Antiqua" w:eastAsia="Calibri" w:hAnsi="Book Antiqua"/>
          <w:lang w:eastAsia="en-US"/>
        </w:rPr>
        <w:t xml:space="preserve"> artículo 315</w:t>
      </w:r>
      <w:r w:rsidR="00211D9D" w:rsidRPr="00C124C8">
        <w:rPr>
          <w:rFonts w:ascii="Book Antiqua" w:eastAsia="Calibri" w:hAnsi="Book Antiqua"/>
          <w:lang w:eastAsia="en-US"/>
        </w:rPr>
        <w:t>,</w:t>
      </w:r>
      <w:r w:rsidRPr="00C124C8">
        <w:rPr>
          <w:rFonts w:ascii="Book Antiqua" w:eastAsia="Calibri" w:hAnsi="Book Antiqua"/>
          <w:lang w:eastAsia="en-US"/>
        </w:rPr>
        <w:t xml:space="preserve"> establece que: “</w:t>
      </w:r>
      <w:r w:rsidRPr="00C124C8">
        <w:rPr>
          <w:rFonts w:ascii="Book Antiqua" w:eastAsia="Calibri" w:hAnsi="Book Antiqua"/>
          <w:i/>
          <w:iCs/>
          <w:lang w:eastAsia="en-US"/>
        </w:rPr>
        <w:t>El Estado constituirá empresas públicas para la gestión de sectores estratégicos, la prestación de servicios públicos, el aprovechamiento sustentable de recursos naturales o de bienes públicos y el desarrollo de otras actividades económicas.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 (…).</w:t>
      </w:r>
      <w:r w:rsidRPr="00C124C8">
        <w:rPr>
          <w:rFonts w:ascii="Book Antiqua" w:eastAsia="Calibri" w:hAnsi="Book Antiqua"/>
          <w:lang w:eastAsia="en-US"/>
        </w:rPr>
        <w:t>”</w:t>
      </w:r>
    </w:p>
    <w:p w14:paraId="55B27391" w14:textId="77777777" w:rsidR="00211D9D"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val="es-ES" w:eastAsia="en-US"/>
        </w:rPr>
        <w:t xml:space="preserve">El artículo </w:t>
      </w:r>
      <w:r w:rsidRPr="00C124C8">
        <w:rPr>
          <w:rFonts w:ascii="Book Antiqua" w:eastAsia="Calibri" w:hAnsi="Book Antiqua"/>
          <w:lang w:eastAsia="en-US"/>
        </w:rPr>
        <w:t>411 de la</w:t>
      </w:r>
      <w:r w:rsidR="00F81554" w:rsidRPr="00C124C8">
        <w:rPr>
          <w:rFonts w:ascii="Book Antiqua" w:eastAsia="Calibri" w:hAnsi="Book Antiqua"/>
          <w:lang w:eastAsia="en-US"/>
        </w:rPr>
        <w:t xml:space="preserve"> </w:t>
      </w:r>
      <w:r w:rsidR="00211D9D" w:rsidRPr="00C124C8">
        <w:rPr>
          <w:rFonts w:ascii="Book Antiqua" w:eastAsia="Calibri" w:hAnsi="Book Antiqua"/>
          <w:lang w:val="es-ES" w:eastAsia="en-US"/>
        </w:rPr>
        <w:t xml:space="preserve">Constitución de la República del </w:t>
      </w:r>
      <w:r w:rsidR="0032091E" w:rsidRPr="00C124C8">
        <w:rPr>
          <w:rFonts w:ascii="Book Antiqua" w:eastAsia="Calibri" w:hAnsi="Book Antiqua"/>
          <w:lang w:val="es-ES" w:eastAsia="en-US"/>
        </w:rPr>
        <w:t>Ecuador</w:t>
      </w:r>
      <w:r w:rsidR="0032091E" w:rsidRPr="00C124C8" w:rsidDel="00211D9D">
        <w:rPr>
          <w:rFonts w:ascii="Book Antiqua" w:eastAsia="Calibri" w:hAnsi="Book Antiqua"/>
          <w:lang w:eastAsia="en-US"/>
        </w:rPr>
        <w:t>,</w:t>
      </w:r>
      <w:r w:rsidRPr="00C124C8">
        <w:rPr>
          <w:rFonts w:ascii="Book Antiqua" w:eastAsia="Calibri" w:hAnsi="Book Antiqua"/>
          <w:lang w:eastAsia="en-US"/>
        </w:rPr>
        <w:t xml:space="preserve"> dispone que</w:t>
      </w:r>
      <w:r w:rsidR="00211D9D" w:rsidRPr="00C124C8">
        <w:rPr>
          <w:rFonts w:ascii="Book Antiqua" w:eastAsia="Calibri" w:hAnsi="Book Antiqua"/>
          <w:lang w:eastAsia="en-US"/>
        </w:rPr>
        <w:t>:</w:t>
      </w:r>
      <w:r w:rsidRPr="00C124C8">
        <w:rPr>
          <w:rFonts w:ascii="Book Antiqua" w:eastAsia="Calibri" w:hAnsi="Book Antiqua"/>
          <w:lang w:eastAsia="en-US"/>
        </w:rPr>
        <w:t xml:space="preserve"> “</w:t>
      </w:r>
      <w:r w:rsidRPr="00C124C8">
        <w:rPr>
          <w:rFonts w:ascii="Book Antiqua" w:eastAsia="Calibri" w:hAnsi="Book Antiqua"/>
          <w:i/>
          <w:iCs/>
          <w:lang w:eastAsia="en-US"/>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 La sustentabilidad de los ecosistemas y el consumo humano serán prioritarios en el uso y aprovechamiento del agua.</w:t>
      </w:r>
      <w:r w:rsidRPr="00C124C8">
        <w:rPr>
          <w:rFonts w:ascii="Book Antiqua" w:eastAsia="Calibri" w:hAnsi="Book Antiqua"/>
          <w:lang w:eastAsia="en-US"/>
        </w:rPr>
        <w:t xml:space="preserve">”. </w:t>
      </w:r>
    </w:p>
    <w:p w14:paraId="3A085E5D" w14:textId="77777777" w:rsidR="006E19B8" w:rsidRPr="00C124C8" w:rsidRDefault="00211D9D" w:rsidP="006E19B8">
      <w:pPr>
        <w:spacing w:line="276" w:lineRule="auto"/>
        <w:jc w:val="both"/>
        <w:rPr>
          <w:rFonts w:ascii="Book Antiqua" w:eastAsia="Calibri" w:hAnsi="Book Antiqua"/>
          <w:lang w:eastAsia="en-US"/>
        </w:rPr>
      </w:pPr>
      <w:r w:rsidRPr="00C124C8">
        <w:rPr>
          <w:rFonts w:ascii="Book Antiqua" w:eastAsia="Calibri" w:hAnsi="Book Antiqua"/>
          <w:lang w:eastAsia="en-US"/>
        </w:rPr>
        <w:t>E</w:t>
      </w:r>
      <w:r w:rsidR="006E19B8" w:rsidRPr="00C124C8">
        <w:rPr>
          <w:rFonts w:ascii="Book Antiqua" w:eastAsia="Calibri" w:hAnsi="Book Antiqua"/>
          <w:lang w:eastAsia="en-US"/>
        </w:rPr>
        <w:t>l artículo 412</w:t>
      </w:r>
      <w:r w:rsidR="0032091E" w:rsidRPr="00C124C8">
        <w:rPr>
          <w:rFonts w:ascii="Book Antiqua" w:eastAsia="Calibri" w:hAnsi="Book Antiqua"/>
          <w:lang w:eastAsia="en-US"/>
        </w:rPr>
        <w:t xml:space="preserve"> </w:t>
      </w:r>
      <w:r w:rsidRPr="00C124C8">
        <w:rPr>
          <w:rFonts w:ascii="Book Antiqua" w:eastAsia="Calibri" w:hAnsi="Book Antiqua"/>
          <w:lang w:eastAsia="en-US"/>
        </w:rPr>
        <w:t>de la</w:t>
      </w:r>
      <w:r w:rsidRPr="00C124C8">
        <w:rPr>
          <w:rFonts w:ascii="Book Antiqua" w:eastAsia="Calibri" w:hAnsi="Book Antiqua"/>
          <w:lang w:val="es-ES" w:eastAsia="en-US"/>
        </w:rPr>
        <w:t>Constitución de la República del Ecuador</w:t>
      </w:r>
      <w:r w:rsidRPr="00C124C8">
        <w:rPr>
          <w:rFonts w:ascii="Book Antiqua" w:eastAsia="Calibri" w:hAnsi="Book Antiqua"/>
          <w:lang w:eastAsia="en-US"/>
        </w:rPr>
        <w:t xml:space="preserve">, </w:t>
      </w:r>
      <w:r w:rsidR="006E19B8" w:rsidRPr="00C124C8">
        <w:rPr>
          <w:rFonts w:ascii="Book Antiqua" w:eastAsia="Calibri" w:hAnsi="Book Antiqua"/>
          <w:lang w:eastAsia="en-US"/>
        </w:rPr>
        <w:t>establece que: “</w:t>
      </w:r>
      <w:bookmarkStart w:id="0" w:name="MDT-2016-0126"/>
      <w:bookmarkStart w:id="1" w:name="biodiversidad"/>
      <w:bookmarkStart w:id="2" w:name="Art._412_CRE_polit"/>
      <w:bookmarkEnd w:id="0"/>
      <w:bookmarkEnd w:id="1"/>
      <w:bookmarkEnd w:id="2"/>
      <w:r w:rsidR="006E19B8" w:rsidRPr="00C124C8">
        <w:rPr>
          <w:rFonts w:ascii="Book Antiqua" w:eastAsia="Calibri" w:hAnsi="Book Antiqua"/>
          <w:i/>
          <w:iCs/>
          <w:lang w:eastAsia="en-US"/>
        </w:rPr>
        <w:t>La autoridad a cargo de la gestión del agua será responsable de su planificación, regulación y control. Esta autoridad cooperará y se coordinará con la que tenga a su cargo la gestión ambiental para garantizar el manejo del agua con un enfoque ecosistémico.</w:t>
      </w:r>
      <w:r w:rsidR="006E19B8" w:rsidRPr="00C124C8">
        <w:rPr>
          <w:rFonts w:ascii="Book Antiqua" w:eastAsia="Calibri" w:hAnsi="Book Antiqua"/>
          <w:lang w:eastAsia="en-US"/>
        </w:rPr>
        <w:t>”</w:t>
      </w:r>
    </w:p>
    <w:p w14:paraId="6E18E3B5"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El Código Orgánico Administrativo en el artículo 10, determina: “</w:t>
      </w:r>
      <w:r w:rsidRPr="00C124C8">
        <w:rPr>
          <w:rFonts w:ascii="Book Antiqua" w:eastAsia="Calibri" w:hAnsi="Book Antiqua"/>
          <w:i/>
          <w:iCs/>
          <w:lang w:eastAsia="en-US"/>
        </w:rPr>
        <w:t>Principio de participación. Las personas deben estar presentes e influir en las cuestiones de interés general a través de los mecanismos previstos en el ordenamiento jurídico</w:t>
      </w:r>
      <w:r w:rsidRPr="00C124C8">
        <w:rPr>
          <w:rFonts w:ascii="Book Antiqua" w:eastAsia="Calibri" w:hAnsi="Book Antiqua"/>
          <w:i/>
          <w:iCs/>
          <w:lang w:val="es-ES" w:eastAsia="en-US"/>
        </w:rPr>
        <w:t>.</w:t>
      </w:r>
      <w:r w:rsidRPr="00C124C8">
        <w:rPr>
          <w:rFonts w:ascii="Book Antiqua" w:eastAsia="Calibri" w:hAnsi="Book Antiqua"/>
          <w:lang w:val="es-ES" w:eastAsia="en-US"/>
        </w:rPr>
        <w:t>”</w:t>
      </w:r>
    </w:p>
    <w:p w14:paraId="4BE4935C"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 xml:space="preserve">El artículo 28 </w:t>
      </w:r>
      <w:r w:rsidR="004D207D" w:rsidRPr="00C124C8">
        <w:rPr>
          <w:rFonts w:ascii="Book Antiqua" w:eastAsia="Calibri" w:hAnsi="Book Antiqua"/>
          <w:lang w:val="es-ES" w:eastAsia="en-US"/>
        </w:rPr>
        <w:t xml:space="preserve">del Código Orgánico </w:t>
      </w:r>
      <w:r w:rsidR="0032091E" w:rsidRPr="00C124C8">
        <w:rPr>
          <w:rFonts w:ascii="Book Antiqua" w:eastAsia="Calibri" w:hAnsi="Book Antiqua"/>
          <w:lang w:val="es-ES" w:eastAsia="en-US"/>
        </w:rPr>
        <w:t>Administrativo,</w:t>
      </w:r>
      <w:r w:rsidRPr="00C124C8">
        <w:rPr>
          <w:rFonts w:ascii="Book Antiqua" w:eastAsia="Calibri" w:hAnsi="Book Antiqua"/>
          <w:lang w:val="es-ES" w:eastAsia="en-US"/>
        </w:rPr>
        <w:t xml:space="preserve"> establece que: “</w:t>
      </w:r>
      <w:r w:rsidRPr="00C124C8">
        <w:rPr>
          <w:rFonts w:ascii="Book Antiqua" w:eastAsia="Calibri" w:hAnsi="Book Antiqua"/>
          <w:i/>
          <w:iCs/>
          <w:lang w:val="es-ES" w:eastAsia="en-US"/>
        </w:rPr>
        <w:t xml:space="preserve">(…) </w:t>
      </w:r>
      <w:r w:rsidR="004D207D" w:rsidRPr="00C124C8">
        <w:rPr>
          <w:rFonts w:ascii="Book Antiqua" w:eastAsia="Calibri" w:hAnsi="Book Antiqua"/>
          <w:i/>
          <w:iCs/>
          <w:lang w:val="es-ES" w:eastAsia="en-US"/>
        </w:rPr>
        <w:t>L</w:t>
      </w:r>
      <w:r w:rsidRPr="00C124C8">
        <w:rPr>
          <w:rFonts w:ascii="Book Antiqua" w:eastAsia="Calibri" w:hAnsi="Book Antiqua"/>
          <w:i/>
          <w:iCs/>
          <w:lang w:val="es-ES" w:eastAsia="en-US"/>
        </w:rPr>
        <w:t>as administraciones trabajarán de manera coordinada, complementaria y prestándose auxilio mutuo. Acordarán mecanismos de coordinación para la gestión de sus competencias y el uso eficiente de los recursos.</w:t>
      </w:r>
      <w:r w:rsidR="004D207D" w:rsidRPr="00C124C8">
        <w:rPr>
          <w:rFonts w:ascii="Book Antiqua" w:eastAsia="Calibri" w:hAnsi="Book Antiqua"/>
          <w:i/>
          <w:iCs/>
          <w:lang w:val="es-ES" w:eastAsia="en-US"/>
        </w:rPr>
        <w:t>..</w:t>
      </w:r>
      <w:r w:rsidRPr="00C124C8">
        <w:rPr>
          <w:rFonts w:ascii="Book Antiqua" w:eastAsia="Calibri" w:hAnsi="Book Antiqua"/>
          <w:i/>
          <w:iCs/>
          <w:lang w:val="es-ES" w:eastAsia="en-US"/>
        </w:rPr>
        <w:t xml:space="preserve">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que, de manera común y voluntaria, establezcan entre ellas.</w:t>
      </w:r>
      <w:r w:rsidRPr="00C124C8">
        <w:rPr>
          <w:rFonts w:ascii="Book Antiqua" w:eastAsia="Calibri" w:hAnsi="Book Antiqua"/>
          <w:lang w:val="es-ES" w:eastAsia="en-US"/>
        </w:rPr>
        <w:t>”</w:t>
      </w:r>
    </w:p>
    <w:p w14:paraId="1AF60CF6"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SEGUNDA: </w:t>
      </w:r>
      <w:r w:rsidR="00F67166" w:rsidRPr="00C124C8">
        <w:rPr>
          <w:rFonts w:ascii="Book Antiqua" w:eastAsia="Calibri" w:hAnsi="Book Antiqua"/>
          <w:b/>
          <w:bCs/>
          <w:lang w:eastAsia="en-US"/>
        </w:rPr>
        <w:t>OBJETO. -</w:t>
      </w:r>
    </w:p>
    <w:p w14:paraId="6C5BF95B"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El presente instrumento, tiene por objeto establecer mecanismos de colaboración y coordinación entre las partes, para realizar labores de mantenimiento en cuanto al retiro y procesamiento de lechuguines o jacintos de agua que se</w:t>
      </w:r>
      <w:r w:rsidR="00A35A7D" w:rsidRPr="00C124C8">
        <w:rPr>
          <w:rFonts w:ascii="Book Antiqua" w:eastAsia="Calibri" w:hAnsi="Book Antiqua"/>
          <w:lang w:eastAsia="en-US"/>
        </w:rPr>
        <w:t xml:space="preserve"> estancan en el Embalse Chóngon</w:t>
      </w:r>
      <w:r w:rsidRPr="00C124C8">
        <w:rPr>
          <w:rFonts w:ascii="Book Antiqua" w:eastAsia="Calibri" w:hAnsi="Book Antiqua"/>
          <w:lang w:eastAsia="en-US"/>
        </w:rPr>
        <w:t>– Parque Lago, en la ciudad de G</w:t>
      </w:r>
      <w:r w:rsidR="00CD7F2F" w:rsidRPr="00C124C8">
        <w:rPr>
          <w:rFonts w:ascii="Book Antiqua" w:eastAsia="Calibri" w:hAnsi="Book Antiqua"/>
          <w:lang w:eastAsia="en-US"/>
        </w:rPr>
        <w:t>uayaquil, provincia del Guayas.</w:t>
      </w:r>
    </w:p>
    <w:p w14:paraId="1F79F68C"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TERCERA: </w:t>
      </w:r>
      <w:r w:rsidR="00F35ECC" w:rsidRPr="00C124C8">
        <w:rPr>
          <w:rFonts w:ascii="Book Antiqua" w:eastAsia="Calibri" w:hAnsi="Book Antiqua"/>
          <w:b/>
          <w:bCs/>
          <w:lang w:eastAsia="en-US"/>
        </w:rPr>
        <w:t>OBLIGACIONES. -</w:t>
      </w:r>
    </w:p>
    <w:p w14:paraId="24F40E49"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Las partes se comprometen a ejecutar las acciones necesarias para el cumplimiento del objeto del presente convenio, sujetándose a lo dispuesto en la Constitución</w:t>
      </w:r>
      <w:r w:rsidR="00C97B75" w:rsidRPr="00C124C8">
        <w:rPr>
          <w:rFonts w:ascii="Book Antiqua" w:eastAsia="Calibri" w:hAnsi="Book Antiqua"/>
          <w:lang w:eastAsia="en-US"/>
        </w:rPr>
        <w:t xml:space="preserve"> de la República del Ecuador</w:t>
      </w:r>
      <w:r w:rsidRPr="00C124C8">
        <w:rPr>
          <w:rFonts w:ascii="Book Antiqua" w:eastAsia="Calibri" w:hAnsi="Book Antiqua"/>
          <w:lang w:eastAsia="en-US"/>
        </w:rPr>
        <w:t xml:space="preserve"> y demás normativa aplicable; por lo que deberán de manera individual y conjunta promover la participación de procesos de fortalecimiento de capacidades que se generen en el marco de la ejecución del presente Convenio y que sean relevantes para la consecución de sus objetivos. </w:t>
      </w:r>
    </w:p>
    <w:p w14:paraId="41D4CD8D"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 xml:space="preserve">Sin perjuicio de lo anterior, las partes de manera individual se obligan a: </w:t>
      </w:r>
    </w:p>
    <w:p w14:paraId="1BDE7B8F"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3.1. POR LA </w:t>
      </w:r>
      <w:r w:rsidR="00C928EF">
        <w:rPr>
          <w:rFonts w:ascii="Book Antiqua" w:eastAsia="Calibri" w:hAnsi="Book Antiqua"/>
          <w:b/>
          <w:bCs/>
          <w:lang w:eastAsia="en-US"/>
        </w:rPr>
        <w:t>XXXXXXXXXXX</w:t>
      </w:r>
      <w:r w:rsidR="00C124C8" w:rsidRPr="00C124C8">
        <w:rPr>
          <w:rFonts w:ascii="Book Antiqua" w:eastAsia="Calibri" w:hAnsi="Book Antiqua"/>
          <w:b/>
          <w:bCs/>
          <w:lang w:eastAsia="en-US"/>
        </w:rPr>
        <w:t>. -</w:t>
      </w:r>
    </w:p>
    <w:p w14:paraId="4136CE8D"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 xml:space="preserve">La </w:t>
      </w:r>
      <w:r w:rsidR="00C928EF">
        <w:rPr>
          <w:rFonts w:ascii="Book Antiqua" w:eastAsia="Calibri" w:hAnsi="Book Antiqua"/>
          <w:lang w:eastAsia="en-US"/>
        </w:rPr>
        <w:t>XXXXXXXXXXXXX</w:t>
      </w:r>
      <w:r w:rsidRPr="00C124C8">
        <w:rPr>
          <w:rFonts w:ascii="Book Antiqua" w:eastAsia="Calibri" w:hAnsi="Book Antiqua"/>
          <w:lang w:eastAsia="en-US"/>
        </w:rPr>
        <w:t>, se compromete a:</w:t>
      </w:r>
    </w:p>
    <w:p w14:paraId="6E9EDA80" w14:textId="77777777" w:rsidR="006E19B8" w:rsidRPr="00C124C8" w:rsidRDefault="006E19B8" w:rsidP="006E19B8">
      <w:pPr>
        <w:spacing w:line="276" w:lineRule="auto"/>
        <w:ind w:left="360"/>
        <w:jc w:val="both"/>
        <w:rPr>
          <w:rFonts w:ascii="Book Antiqua" w:eastAsia="Calibri" w:hAnsi="Book Antiqua"/>
          <w:b/>
          <w:bCs/>
          <w:lang w:eastAsia="en-US"/>
        </w:rPr>
      </w:pPr>
      <w:r w:rsidRPr="00C124C8">
        <w:rPr>
          <w:rFonts w:ascii="Book Antiqua" w:eastAsia="Calibri" w:hAnsi="Book Antiqua"/>
          <w:b/>
          <w:bCs/>
          <w:lang w:eastAsia="en-US"/>
        </w:rPr>
        <w:t xml:space="preserve">3.2. POR EL </w:t>
      </w:r>
      <w:r w:rsidR="00C928EF">
        <w:rPr>
          <w:rFonts w:ascii="Book Antiqua" w:eastAsia="Calibri" w:hAnsi="Book Antiqua"/>
          <w:b/>
          <w:bCs/>
          <w:lang w:eastAsia="en-US"/>
        </w:rPr>
        <w:t>XXXXXXXXXX</w:t>
      </w:r>
      <w:r w:rsidR="00C124C8" w:rsidRPr="00C124C8">
        <w:rPr>
          <w:rFonts w:ascii="Book Antiqua" w:eastAsia="Calibri" w:hAnsi="Book Antiqua"/>
          <w:b/>
          <w:bCs/>
          <w:lang w:eastAsia="en-US"/>
        </w:rPr>
        <w:t>. -</w:t>
      </w:r>
    </w:p>
    <w:p w14:paraId="5F315430"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 xml:space="preserve">El </w:t>
      </w:r>
      <w:r w:rsidR="00C928EF">
        <w:rPr>
          <w:rFonts w:ascii="Book Antiqua" w:eastAsia="Calibri" w:hAnsi="Book Antiqua"/>
          <w:lang w:eastAsia="en-US"/>
        </w:rPr>
        <w:t>XXXXXXXXXXXXXXX</w:t>
      </w:r>
      <w:r w:rsidRPr="00C124C8">
        <w:rPr>
          <w:rFonts w:ascii="Book Antiqua" w:eastAsia="Calibri" w:hAnsi="Book Antiqua"/>
          <w:lang w:eastAsia="en-US"/>
        </w:rPr>
        <w:t xml:space="preserve">, se compromete a: </w:t>
      </w:r>
    </w:p>
    <w:p w14:paraId="0277A0AA"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CUARTA: </w:t>
      </w:r>
      <w:r w:rsidR="003C3CF4" w:rsidRPr="00C124C8">
        <w:rPr>
          <w:rFonts w:ascii="Book Antiqua" w:eastAsia="Calibri" w:hAnsi="Book Antiqua"/>
          <w:b/>
          <w:bCs/>
          <w:lang w:eastAsia="en-US"/>
        </w:rPr>
        <w:t>PLAZO. -</w:t>
      </w:r>
    </w:p>
    <w:p w14:paraId="425B4A76" w14:textId="77777777" w:rsidR="00FB14FF" w:rsidRPr="00C124C8" w:rsidRDefault="006E19B8" w:rsidP="00FB14FF">
      <w:pPr>
        <w:shd w:val="clear" w:color="auto" w:fill="FFFFFF"/>
        <w:spacing w:after="0" w:line="240" w:lineRule="auto"/>
        <w:jc w:val="both"/>
        <w:rPr>
          <w:rFonts w:ascii="Book Antiqua" w:hAnsi="Book Antiqua" w:cs="Calibri"/>
        </w:rPr>
      </w:pPr>
      <w:r w:rsidRPr="00C124C8">
        <w:rPr>
          <w:rFonts w:ascii="Book Antiqua" w:eastAsia="Calibri" w:hAnsi="Book Antiqua"/>
          <w:lang w:eastAsia="en-US"/>
        </w:rPr>
        <w:t>El presente instrumento tendrá un plazo de vigencia de CUATRO (4) años contados a partir de su suscripción.</w:t>
      </w:r>
      <w:r w:rsidR="00FB14FF" w:rsidRPr="00C124C8">
        <w:rPr>
          <w:rFonts w:ascii="Book Antiqua" w:hAnsi="Book Antiqua" w:cs="Calibri"/>
        </w:rPr>
        <w:t xml:space="preserve"> y se prorrogará automáticamente por el mismo período, a menos que alguna de las Partes exprese lo contrario, mediante aviso formal por escrito con treinta (30) días de anticipación al vencimiento del período correspondiente.</w:t>
      </w:r>
    </w:p>
    <w:p w14:paraId="43446D42" w14:textId="77777777" w:rsidR="00FB14FF" w:rsidRPr="00C124C8" w:rsidRDefault="00FB14FF" w:rsidP="00FB14FF">
      <w:pPr>
        <w:spacing w:after="0" w:line="240" w:lineRule="auto"/>
        <w:rPr>
          <w:rFonts w:ascii="Book Antiqua" w:hAnsi="Book Antiqua" w:cs="Calibri"/>
          <w:b/>
          <w:bCs/>
        </w:rPr>
      </w:pPr>
    </w:p>
    <w:p w14:paraId="33204608"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 xml:space="preserve">Una vez que haya concluido la vigencia del convenio, o por las causales que se establezcan, las partes se obligan a suscribir un Acta de Terminación, donde realicen la liquidación del instrumento y dejen constancia de lo actuado. </w:t>
      </w:r>
    </w:p>
    <w:p w14:paraId="782B7E90"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QUINTA: ADMINISTRACIÓN Y SUPERVISIÓN DEL </w:t>
      </w:r>
      <w:r w:rsidR="003C3CF4" w:rsidRPr="00C124C8">
        <w:rPr>
          <w:rFonts w:ascii="Book Antiqua" w:eastAsia="Calibri" w:hAnsi="Book Antiqua"/>
          <w:b/>
          <w:bCs/>
          <w:lang w:eastAsia="en-US"/>
        </w:rPr>
        <w:t>CONVENIO. -</w:t>
      </w:r>
    </w:p>
    <w:p w14:paraId="37A35C77"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 xml:space="preserve">La administración y supervisión de las actividades que se deriven de la ejecución del presente instrumento estarán a cargo de </w:t>
      </w:r>
      <w:r w:rsidR="00C928EF">
        <w:rPr>
          <w:rFonts w:ascii="Book Antiqua" w:eastAsia="Calibri" w:hAnsi="Book Antiqua"/>
          <w:lang w:val="es-ES" w:eastAsia="en-US"/>
        </w:rPr>
        <w:t>XXXXXXXXXXX</w:t>
      </w:r>
      <w:r w:rsidRPr="00C124C8">
        <w:rPr>
          <w:rFonts w:ascii="Book Antiqua" w:eastAsia="Calibri" w:hAnsi="Book Antiqua"/>
          <w:lang w:val="es-ES" w:eastAsia="en-US"/>
        </w:rPr>
        <w:t xml:space="preserve">; </w:t>
      </w:r>
      <w:r w:rsidR="00C928EF">
        <w:rPr>
          <w:rFonts w:ascii="Book Antiqua" w:eastAsia="Calibri" w:hAnsi="Book Antiqua"/>
          <w:lang w:val="es-ES" w:eastAsia="en-US"/>
        </w:rPr>
        <w:t xml:space="preserve">y, </w:t>
      </w:r>
      <w:r w:rsidRPr="00C124C8">
        <w:rPr>
          <w:rFonts w:ascii="Book Antiqua" w:eastAsia="Calibri" w:hAnsi="Book Antiqua"/>
          <w:lang w:val="es-ES" w:eastAsia="en-US"/>
        </w:rPr>
        <w:t xml:space="preserve">por parte del </w:t>
      </w:r>
      <w:r w:rsidR="00C928EF">
        <w:rPr>
          <w:rFonts w:ascii="Book Antiqua" w:eastAsia="Calibri" w:hAnsi="Book Antiqua"/>
          <w:lang w:val="es-ES" w:eastAsia="en-US"/>
        </w:rPr>
        <w:t>XXXXXXXXXXXXX</w:t>
      </w:r>
      <w:r w:rsidRPr="00C124C8">
        <w:rPr>
          <w:rFonts w:ascii="Book Antiqua" w:eastAsia="Calibri" w:hAnsi="Book Antiqua"/>
          <w:lang w:val="es-ES" w:eastAsia="en-US"/>
        </w:rPr>
        <w:t xml:space="preserve"> por medio del </w:t>
      </w:r>
      <w:r w:rsidR="00C928EF">
        <w:rPr>
          <w:rFonts w:ascii="Book Antiqua" w:eastAsia="Calibri" w:hAnsi="Book Antiqua"/>
          <w:lang w:val="es-ES" w:eastAsia="en-US"/>
        </w:rPr>
        <w:t>XXXXXXXXXXXX</w:t>
      </w:r>
      <w:r w:rsidR="00D92311" w:rsidRPr="00C124C8">
        <w:rPr>
          <w:rFonts w:ascii="Book Antiqua" w:hAnsi="Book Antiqua"/>
        </w:rPr>
        <w:t xml:space="preserve"> o quien hiciere sus veces</w:t>
      </w:r>
      <w:r w:rsidR="00C928EF">
        <w:rPr>
          <w:rFonts w:ascii="Book Antiqua" w:eastAsia="Calibri" w:hAnsi="Book Antiqua"/>
          <w:lang w:val="es-ES" w:eastAsia="en-US"/>
        </w:rPr>
        <w:t>.</w:t>
      </w:r>
    </w:p>
    <w:p w14:paraId="111F0857" w14:textId="77777777" w:rsidR="00562492" w:rsidRPr="00C124C8" w:rsidRDefault="00562492" w:rsidP="00562492">
      <w:pPr>
        <w:spacing w:after="0" w:line="240" w:lineRule="auto"/>
        <w:jc w:val="both"/>
        <w:rPr>
          <w:rFonts w:ascii="Book Antiqua" w:hAnsi="Book Antiqua" w:cs="Calibri"/>
          <w:bCs/>
        </w:rPr>
      </w:pPr>
      <w:r w:rsidRPr="00C124C8">
        <w:rPr>
          <w:rFonts w:ascii="Book Antiqua" w:hAnsi="Book Antiqua" w:cs="Calibri"/>
          <w:bCs/>
        </w:rPr>
        <w:t xml:space="preserve">Los administradores del presente Convenio presentarán, a sus respectivas autoridades, un informe de gestión </w:t>
      </w:r>
      <w:r w:rsidR="00C87AFA" w:rsidRPr="00C124C8">
        <w:rPr>
          <w:rFonts w:ascii="Book Antiqua" w:hAnsi="Book Antiqua" w:cs="Calibri"/>
          <w:bCs/>
        </w:rPr>
        <w:t>bimensu</w:t>
      </w:r>
      <w:r w:rsidR="000249DD" w:rsidRPr="00C124C8">
        <w:rPr>
          <w:rFonts w:ascii="Book Antiqua" w:hAnsi="Book Antiqua" w:cs="Calibri"/>
          <w:bCs/>
        </w:rPr>
        <w:t>al</w:t>
      </w:r>
      <w:r w:rsidRPr="00C124C8">
        <w:rPr>
          <w:rFonts w:ascii="Book Antiqua" w:hAnsi="Book Antiqua" w:cs="Calibri"/>
          <w:bCs/>
        </w:rPr>
        <w:t xml:space="preserve"> sobre las actividades y procesos realizados para el correcto cumplimiento de este instrumento.</w:t>
      </w:r>
    </w:p>
    <w:p w14:paraId="6E8FB38A" w14:textId="77777777" w:rsidR="000249DD" w:rsidRPr="00C124C8" w:rsidRDefault="000249DD" w:rsidP="00562492">
      <w:pPr>
        <w:spacing w:after="0" w:line="240" w:lineRule="auto"/>
        <w:jc w:val="both"/>
        <w:rPr>
          <w:rFonts w:ascii="Book Antiqua" w:hAnsi="Book Antiqua" w:cs="Calibri"/>
          <w:bCs/>
        </w:rPr>
      </w:pPr>
    </w:p>
    <w:p w14:paraId="19E7AF58" w14:textId="77777777" w:rsidR="00562492" w:rsidRPr="00C124C8" w:rsidRDefault="00562492" w:rsidP="00562492">
      <w:pPr>
        <w:spacing w:after="0" w:line="240" w:lineRule="auto"/>
        <w:jc w:val="both"/>
        <w:rPr>
          <w:rFonts w:ascii="Book Antiqua" w:hAnsi="Book Antiqua" w:cs="Calibri"/>
          <w:color w:val="000000"/>
        </w:rPr>
      </w:pPr>
      <w:r w:rsidRPr="00C124C8">
        <w:rPr>
          <w:rFonts w:ascii="Book Antiqua" w:hAnsi="Book Antiqua" w:cs="Calibri"/>
          <w:color w:val="000000"/>
        </w:rPr>
        <w:t xml:space="preserve">Además de las anteriores responsabilidades de los administradores del Convenio, se considerarán las siguientes: </w:t>
      </w:r>
    </w:p>
    <w:p w14:paraId="683E8055" w14:textId="77777777" w:rsidR="00562492" w:rsidRPr="00C124C8" w:rsidRDefault="00562492" w:rsidP="00562492">
      <w:pPr>
        <w:spacing w:after="0" w:line="240" w:lineRule="auto"/>
        <w:jc w:val="both"/>
        <w:rPr>
          <w:rFonts w:ascii="Book Antiqua" w:hAnsi="Book Antiqua" w:cs="Calibri"/>
          <w:color w:val="000000"/>
        </w:rPr>
      </w:pPr>
    </w:p>
    <w:p w14:paraId="40CE3404"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 xml:space="preserve">Velar por la correcta ejecución del presente instrumento convencional. </w:t>
      </w:r>
    </w:p>
    <w:p w14:paraId="41AE4FF3"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 xml:space="preserve">Realizar el seguimiento, coordinación, control y evaluación del instrumento. </w:t>
      </w:r>
    </w:p>
    <w:p w14:paraId="573DF697"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 xml:space="preserve">Resolver las discrepancias que puedan surgir en su cumplimiento, entre </w:t>
      </w:r>
      <w:r w:rsidRPr="00C124C8">
        <w:rPr>
          <w:rFonts w:ascii="Book Antiqua" w:hAnsi="Book Antiqua" w:cs="Calibri"/>
          <w:b/>
          <w:bCs/>
          <w:color w:val="000000"/>
        </w:rPr>
        <w:t>“LAS PARTES”</w:t>
      </w:r>
      <w:r w:rsidRPr="00C124C8">
        <w:rPr>
          <w:rFonts w:ascii="Book Antiqua" w:hAnsi="Book Antiqua" w:cs="Calibri"/>
          <w:color w:val="000000"/>
        </w:rPr>
        <w:t>.</w:t>
      </w:r>
    </w:p>
    <w:p w14:paraId="7F29EC79"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 xml:space="preserve">Informar a las autoridades de las PARTES suscriptoras sobre la ejecución del Convenio. </w:t>
      </w:r>
    </w:p>
    <w:p w14:paraId="0661D433"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Resguardar los intereses institucionales respecto de la ejecución, calidad y finalización satisfactoria de las actividades originadas por el instrumento.</w:t>
      </w:r>
    </w:p>
    <w:p w14:paraId="72164DEA"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Presentar informes cuando sean requeridos por las máximas autoridades de las PARTES.</w:t>
      </w:r>
    </w:p>
    <w:p w14:paraId="5CB7FC59"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Emitir informes con el debido sustento técnico para realizar convenios modificatorios o terminaciones, según el caso.</w:t>
      </w:r>
    </w:p>
    <w:p w14:paraId="1958C35E"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Solicitar la autorización o aprobación de la Autoridad suscritora para la respectiva prórroga, ampliación, modificación o terminación, para lo cual deberán contar con un informe debidamente motivado sobre el requerimiento, cuando fuere necesario.</w:t>
      </w:r>
    </w:p>
    <w:p w14:paraId="7D4BA93D" w14:textId="77777777" w:rsidR="00562492" w:rsidRPr="00C124C8" w:rsidRDefault="00562492" w:rsidP="00562492">
      <w:pPr>
        <w:numPr>
          <w:ilvl w:val="2"/>
          <w:numId w:val="12"/>
        </w:numPr>
        <w:spacing w:after="0" w:line="240" w:lineRule="auto"/>
        <w:ind w:left="567" w:hanging="284"/>
        <w:jc w:val="both"/>
        <w:rPr>
          <w:rFonts w:ascii="Book Antiqua" w:hAnsi="Book Antiqua" w:cs="Calibri"/>
          <w:b/>
          <w:color w:val="000000"/>
        </w:rPr>
      </w:pPr>
      <w:r w:rsidRPr="00C124C8">
        <w:rPr>
          <w:rFonts w:ascii="Book Antiqua" w:hAnsi="Book Antiqua" w:cs="Calibri"/>
          <w:b/>
          <w:color w:val="000000"/>
        </w:rPr>
        <w:t>Consolidar el expediente completo respecto a la ejecución del presente instrumento.</w:t>
      </w:r>
    </w:p>
    <w:p w14:paraId="5AA87CEC" w14:textId="77777777" w:rsidR="00562492" w:rsidRPr="00C124C8" w:rsidRDefault="00562492" w:rsidP="00562492">
      <w:pPr>
        <w:numPr>
          <w:ilvl w:val="2"/>
          <w:numId w:val="12"/>
        </w:numPr>
        <w:spacing w:after="0" w:line="240" w:lineRule="auto"/>
        <w:ind w:left="567" w:hanging="284"/>
        <w:jc w:val="both"/>
        <w:rPr>
          <w:rFonts w:ascii="Book Antiqua" w:hAnsi="Book Antiqua" w:cs="Calibri"/>
          <w:color w:val="000000"/>
        </w:rPr>
      </w:pPr>
      <w:r w:rsidRPr="00C124C8">
        <w:rPr>
          <w:rFonts w:ascii="Book Antiqua" w:hAnsi="Book Antiqua" w:cs="Calibri"/>
          <w:color w:val="000000"/>
        </w:rPr>
        <w:t>Elaborar el Informe final para suscribir el Acta de Cierre del presente Convenio.</w:t>
      </w:r>
    </w:p>
    <w:p w14:paraId="0CCD5C01" w14:textId="77777777" w:rsidR="00562492" w:rsidRPr="00C124C8" w:rsidRDefault="00562492" w:rsidP="006E19B8">
      <w:pPr>
        <w:spacing w:line="276" w:lineRule="auto"/>
        <w:jc w:val="both"/>
        <w:rPr>
          <w:rFonts w:ascii="Book Antiqua" w:eastAsia="Calibri" w:hAnsi="Book Antiqua"/>
          <w:lang w:eastAsia="en-US"/>
        </w:rPr>
      </w:pPr>
    </w:p>
    <w:p w14:paraId="3D4F45EA" w14:textId="77777777" w:rsidR="00562492" w:rsidRPr="00C124C8" w:rsidRDefault="00562492" w:rsidP="00562492">
      <w:pPr>
        <w:spacing w:after="0" w:line="240" w:lineRule="auto"/>
        <w:jc w:val="both"/>
        <w:rPr>
          <w:rFonts w:ascii="Book Antiqua" w:hAnsi="Book Antiqua" w:cs="Calibri"/>
          <w:bCs/>
        </w:rPr>
      </w:pPr>
      <w:r w:rsidRPr="00C124C8">
        <w:rPr>
          <w:rFonts w:ascii="Book Antiqua" w:hAnsi="Book Antiqua" w:cs="Calibri"/>
          <w:bCs/>
        </w:rPr>
        <w:t>Las Partes podrán sustituir o cambiar a los administradores de este Convenio, para lo cual bastará cursar la respectiva comunicación por escrito y/o correo electrónico, sin que sea necesaria la modificación de lo convenido en este instrumento.</w:t>
      </w:r>
    </w:p>
    <w:p w14:paraId="2539FAA6" w14:textId="77777777" w:rsidR="006E19B8" w:rsidRPr="00C124C8" w:rsidRDefault="006E19B8" w:rsidP="006E19B8">
      <w:pPr>
        <w:spacing w:line="276" w:lineRule="auto"/>
        <w:jc w:val="both"/>
        <w:rPr>
          <w:rFonts w:ascii="Book Antiqua" w:eastAsia="Calibri" w:hAnsi="Book Antiqua"/>
          <w:lang w:eastAsia="en-US"/>
        </w:rPr>
      </w:pPr>
    </w:p>
    <w:p w14:paraId="3C518793" w14:textId="77777777" w:rsidR="00BB4F67" w:rsidRPr="00C124C8" w:rsidRDefault="00BB4F67" w:rsidP="00BB4F67">
      <w:pPr>
        <w:spacing w:after="0" w:line="240" w:lineRule="auto"/>
        <w:jc w:val="both"/>
        <w:rPr>
          <w:rFonts w:ascii="Book Antiqua" w:hAnsi="Book Antiqua" w:cs="Calibri"/>
          <w:b/>
        </w:rPr>
      </w:pPr>
      <w:r w:rsidRPr="00C124C8">
        <w:rPr>
          <w:rFonts w:ascii="Book Antiqua" w:hAnsi="Book Antiqua" w:cs="Calibri"/>
          <w:b/>
        </w:rPr>
        <w:t xml:space="preserve">CLÁUSULA </w:t>
      </w:r>
      <w:r w:rsidR="005A02A1" w:rsidRPr="00C124C8">
        <w:rPr>
          <w:rFonts w:ascii="Book Antiqua" w:hAnsi="Book Antiqua" w:cs="Calibri"/>
          <w:b/>
        </w:rPr>
        <w:t>SEXTA</w:t>
      </w:r>
      <w:r w:rsidRPr="00C124C8">
        <w:rPr>
          <w:rFonts w:ascii="Book Antiqua" w:hAnsi="Book Antiqua" w:cs="Calibri"/>
          <w:b/>
        </w:rPr>
        <w:t>. - ACTA DE CIERRE:</w:t>
      </w:r>
    </w:p>
    <w:p w14:paraId="1ECAE101" w14:textId="77777777" w:rsidR="00BB4F67" w:rsidRPr="00C124C8" w:rsidRDefault="00BB4F67" w:rsidP="00BB4F67">
      <w:pPr>
        <w:spacing w:after="0" w:line="240" w:lineRule="auto"/>
        <w:jc w:val="both"/>
        <w:rPr>
          <w:rFonts w:ascii="Book Antiqua" w:hAnsi="Book Antiqua" w:cs="Calibri"/>
        </w:rPr>
      </w:pPr>
    </w:p>
    <w:p w14:paraId="6826AB98" w14:textId="77777777" w:rsidR="00BB4F67" w:rsidRPr="00C124C8" w:rsidRDefault="00BB4F67" w:rsidP="000249DD">
      <w:pPr>
        <w:spacing w:after="0" w:line="240" w:lineRule="auto"/>
        <w:jc w:val="both"/>
        <w:rPr>
          <w:rFonts w:ascii="Book Antiqua" w:hAnsi="Book Antiqua" w:cs="Calibri"/>
        </w:rPr>
      </w:pPr>
      <w:r w:rsidRPr="00C124C8">
        <w:rPr>
          <w:rFonts w:ascii="Book Antiqua" w:hAnsi="Book Antiqua" w:cs="Calibri"/>
        </w:rPr>
        <w:t>Una vez concluida la vigencia del presente Convenio, las Partes asumen la obligación de realizar una evaluación mutua de su cumplimiento y proceder a la suscripción de un acta de cierre, en la que se dejará constancia de las obligaciones y compromisos ejecutados como consecuencia del cumplimiento del presente instrumento.</w:t>
      </w:r>
    </w:p>
    <w:p w14:paraId="2E91C3F5" w14:textId="77777777" w:rsidR="00BB4F67" w:rsidRPr="00C124C8" w:rsidRDefault="00BB4F67" w:rsidP="006E19B8">
      <w:pPr>
        <w:spacing w:line="276" w:lineRule="auto"/>
        <w:jc w:val="both"/>
        <w:rPr>
          <w:rFonts w:ascii="Book Antiqua" w:eastAsia="Calibri" w:hAnsi="Book Antiqua"/>
          <w:b/>
          <w:bCs/>
          <w:lang w:eastAsia="en-US"/>
        </w:rPr>
      </w:pPr>
    </w:p>
    <w:p w14:paraId="29174A66" w14:textId="77777777" w:rsidR="00BB4F67"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CLÁUSULA S</w:t>
      </w:r>
      <w:r w:rsidR="005A02A1" w:rsidRPr="00C124C8">
        <w:rPr>
          <w:rFonts w:ascii="Book Antiqua" w:eastAsia="Calibri" w:hAnsi="Book Antiqua"/>
          <w:b/>
          <w:bCs/>
          <w:lang w:eastAsia="en-US"/>
        </w:rPr>
        <w:t>ÉPTIMA</w:t>
      </w:r>
      <w:r w:rsidRPr="00C124C8">
        <w:rPr>
          <w:rFonts w:ascii="Book Antiqua" w:eastAsia="Calibri" w:hAnsi="Book Antiqua"/>
          <w:b/>
          <w:bCs/>
          <w:lang w:eastAsia="en-US"/>
        </w:rPr>
        <w:t xml:space="preserve">: </w:t>
      </w:r>
      <w:r w:rsidR="00BB4F67" w:rsidRPr="00C124C8">
        <w:rPr>
          <w:rFonts w:ascii="Book Antiqua" w:eastAsia="Cambria" w:hAnsi="Book Antiqua" w:cs="Calibri"/>
          <w:b/>
          <w:bCs/>
          <w:color w:val="000000"/>
          <w:shd w:val="clear" w:color="auto" w:fill="FFFFFF"/>
          <w:lang w:val="es-US"/>
        </w:rPr>
        <w:t>NATURALEZA JURÍDICA DE LA RELACIÓN:</w:t>
      </w:r>
    </w:p>
    <w:p w14:paraId="7D8DEDF6" w14:textId="77777777" w:rsidR="00BB4F67" w:rsidRPr="00C124C8" w:rsidRDefault="00BB4F67" w:rsidP="00BB4F67">
      <w:pPr>
        <w:shd w:val="clear" w:color="auto" w:fill="FFFFFF"/>
        <w:spacing w:after="0" w:line="240" w:lineRule="auto"/>
        <w:jc w:val="both"/>
        <w:rPr>
          <w:rFonts w:ascii="Book Antiqua" w:eastAsia="Cambria" w:hAnsi="Book Antiqua" w:cs="Calibri"/>
          <w:bCs/>
          <w:color w:val="000000"/>
          <w:shd w:val="clear" w:color="auto" w:fill="FFFFFF"/>
          <w:lang w:val="es-US"/>
        </w:rPr>
      </w:pPr>
      <w:r w:rsidRPr="00C124C8">
        <w:rPr>
          <w:rFonts w:ascii="Book Antiqua" w:eastAsia="Cambria" w:hAnsi="Book Antiqua" w:cs="Calibri"/>
          <w:bCs/>
          <w:color w:val="000000"/>
          <w:shd w:val="clear" w:color="auto" w:fill="FFFFFF"/>
          <w:lang w:val="es-US"/>
        </w:rPr>
        <w:t>La relación entre las Partes se limita única y exclusivamente a la cooperación para la ejecución del objeto del presente Convenio, por lo que las Partes no contraen ningún vínculo laboral o civil, ni relación de dependencia con el personal que cada una de las Partes requiera o contrate para la ejecución de este instrumento.</w:t>
      </w:r>
    </w:p>
    <w:p w14:paraId="48EEFE70" w14:textId="77777777" w:rsidR="00C124C8" w:rsidRDefault="00C124C8" w:rsidP="006E19B8">
      <w:pPr>
        <w:spacing w:line="276" w:lineRule="auto"/>
        <w:jc w:val="both"/>
        <w:rPr>
          <w:rFonts w:ascii="Book Antiqua" w:eastAsia="Calibri" w:hAnsi="Book Antiqua"/>
          <w:b/>
          <w:bCs/>
          <w:lang w:eastAsia="en-US"/>
        </w:rPr>
      </w:pPr>
    </w:p>
    <w:p w14:paraId="13A3E322"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w:t>
      </w:r>
      <w:r w:rsidR="005A02A1" w:rsidRPr="00C124C8">
        <w:rPr>
          <w:rFonts w:ascii="Book Antiqua" w:eastAsia="Calibri" w:hAnsi="Book Antiqua"/>
          <w:b/>
          <w:bCs/>
          <w:lang w:eastAsia="en-US"/>
        </w:rPr>
        <w:t>OCTAVA</w:t>
      </w:r>
      <w:r w:rsidRPr="00C124C8">
        <w:rPr>
          <w:rFonts w:ascii="Book Antiqua" w:eastAsia="Calibri" w:hAnsi="Book Antiqua"/>
          <w:b/>
          <w:bCs/>
          <w:lang w:eastAsia="en-US"/>
        </w:rPr>
        <w:t xml:space="preserve">: </w:t>
      </w:r>
      <w:r w:rsidR="003C3CF4" w:rsidRPr="00C124C8">
        <w:rPr>
          <w:rFonts w:ascii="Book Antiqua" w:eastAsia="Calibri" w:hAnsi="Book Antiqua"/>
          <w:b/>
          <w:bCs/>
          <w:lang w:eastAsia="en-US"/>
        </w:rPr>
        <w:t>FINANCIAMIENTO. -</w:t>
      </w:r>
    </w:p>
    <w:p w14:paraId="114D5E08"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Por la naturaleza del presente instrumento, no implica transferencia de recursos entre las partes; por lo que no podrá reclamarse dinero, valores, bienes, especies o similares entre sí.</w:t>
      </w:r>
    </w:p>
    <w:p w14:paraId="601D01BE"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Las actividades que realicen referentes a las competencias de las partes, así como de las obligaciones asumidas en el presente instrumento, correrán por cuenta y financiamiento de cada una.</w:t>
      </w:r>
    </w:p>
    <w:p w14:paraId="53D8AFA3" w14:textId="77777777" w:rsidR="006E19B8" w:rsidRPr="00C124C8" w:rsidRDefault="006E19B8" w:rsidP="00356823">
      <w:pPr>
        <w:spacing w:line="276" w:lineRule="auto"/>
        <w:ind w:left="708" w:hanging="708"/>
        <w:jc w:val="both"/>
        <w:rPr>
          <w:rFonts w:ascii="Book Antiqua" w:eastAsia="Calibri" w:hAnsi="Book Antiqua"/>
          <w:b/>
          <w:bCs/>
          <w:lang w:eastAsia="en-US"/>
        </w:rPr>
      </w:pPr>
      <w:r w:rsidRPr="00C124C8">
        <w:rPr>
          <w:rFonts w:ascii="Book Antiqua" w:eastAsia="Calibri" w:hAnsi="Book Antiqua"/>
          <w:b/>
          <w:bCs/>
          <w:lang w:eastAsia="en-US"/>
        </w:rPr>
        <w:t xml:space="preserve">CLÁUSULA </w:t>
      </w:r>
      <w:r w:rsidR="005A02A1" w:rsidRPr="00C124C8">
        <w:rPr>
          <w:rFonts w:ascii="Book Antiqua" w:eastAsia="Calibri" w:hAnsi="Book Antiqua"/>
          <w:b/>
          <w:bCs/>
          <w:lang w:eastAsia="en-US"/>
        </w:rPr>
        <w:t>NOVENA</w:t>
      </w:r>
      <w:r w:rsidRPr="00C124C8">
        <w:rPr>
          <w:rFonts w:ascii="Book Antiqua" w:eastAsia="Calibri" w:hAnsi="Book Antiqua"/>
          <w:b/>
          <w:bCs/>
          <w:lang w:eastAsia="en-US"/>
        </w:rPr>
        <w:t xml:space="preserve">: </w:t>
      </w:r>
      <w:r w:rsidR="003C3CF4" w:rsidRPr="00C124C8">
        <w:rPr>
          <w:rFonts w:ascii="Book Antiqua" w:eastAsia="Calibri" w:hAnsi="Book Antiqua"/>
          <w:b/>
          <w:bCs/>
          <w:lang w:eastAsia="en-US"/>
        </w:rPr>
        <w:t>CONTROVERSIAS. -</w:t>
      </w:r>
    </w:p>
    <w:p w14:paraId="3AD6E358" w14:textId="77777777" w:rsidR="00F20D4F" w:rsidRPr="00C124C8" w:rsidRDefault="00F20D4F" w:rsidP="00F20D4F">
      <w:pPr>
        <w:autoSpaceDE w:val="0"/>
        <w:autoSpaceDN w:val="0"/>
        <w:adjustRightInd w:val="0"/>
        <w:spacing w:after="0" w:line="240" w:lineRule="auto"/>
        <w:jc w:val="both"/>
        <w:rPr>
          <w:rFonts w:ascii="Book Antiqua" w:hAnsi="Book Antiqua" w:cs="Calibri"/>
          <w:color w:val="000000"/>
        </w:rPr>
      </w:pPr>
      <w:r w:rsidRPr="00C124C8">
        <w:rPr>
          <w:rFonts w:ascii="Book Antiqua" w:hAnsi="Book Antiqua" w:cs="Calibri"/>
          <w:b/>
          <w:bCs/>
          <w:color w:val="000000"/>
        </w:rPr>
        <w:t>“LAS PARTES”</w:t>
      </w:r>
      <w:r w:rsidRPr="00C124C8">
        <w:rPr>
          <w:rFonts w:ascii="Book Antiqua" w:hAnsi="Book Antiqua" w:cs="Calibri"/>
          <w:color w:val="000000"/>
        </w:rPr>
        <w:t xml:space="preserve"> por mutuo acuerdo se sujetarán a las normas que a continuación se detallan: </w:t>
      </w:r>
    </w:p>
    <w:p w14:paraId="60DC8CB8" w14:textId="77777777" w:rsidR="00F20D4F" w:rsidRPr="00C124C8" w:rsidRDefault="00F20D4F" w:rsidP="00F20D4F">
      <w:pPr>
        <w:autoSpaceDE w:val="0"/>
        <w:autoSpaceDN w:val="0"/>
        <w:adjustRightInd w:val="0"/>
        <w:spacing w:after="0" w:line="240" w:lineRule="auto"/>
        <w:jc w:val="both"/>
        <w:rPr>
          <w:rFonts w:ascii="Book Antiqua" w:hAnsi="Book Antiqua" w:cs="Calibri"/>
          <w:color w:val="000000"/>
        </w:rPr>
      </w:pPr>
    </w:p>
    <w:p w14:paraId="080F6250" w14:textId="77777777" w:rsidR="00F20D4F" w:rsidRPr="00C124C8" w:rsidRDefault="005A02A1" w:rsidP="00F20D4F">
      <w:pPr>
        <w:autoSpaceDE w:val="0"/>
        <w:autoSpaceDN w:val="0"/>
        <w:adjustRightInd w:val="0"/>
        <w:spacing w:after="0" w:line="240" w:lineRule="auto"/>
        <w:jc w:val="both"/>
        <w:rPr>
          <w:rFonts w:ascii="Book Antiqua" w:hAnsi="Book Antiqua" w:cs="Calibri"/>
          <w:color w:val="000000"/>
        </w:rPr>
      </w:pPr>
      <w:r w:rsidRPr="00C124C8">
        <w:rPr>
          <w:rFonts w:ascii="Book Antiqua" w:hAnsi="Book Antiqua" w:cs="Calibri"/>
          <w:b/>
          <w:bCs/>
          <w:color w:val="000000"/>
        </w:rPr>
        <w:t>9</w:t>
      </w:r>
      <w:r w:rsidR="003C3CF4" w:rsidRPr="00C124C8">
        <w:rPr>
          <w:rFonts w:ascii="Book Antiqua" w:hAnsi="Book Antiqua" w:cs="Calibri"/>
          <w:b/>
          <w:bCs/>
          <w:color w:val="000000"/>
        </w:rPr>
        <w:t>.1</w:t>
      </w:r>
      <w:r w:rsidR="00F20D4F" w:rsidRPr="00C124C8">
        <w:rPr>
          <w:rFonts w:ascii="Book Antiqua" w:hAnsi="Book Antiqua" w:cs="Calibri"/>
          <w:color w:val="000000"/>
        </w:rPr>
        <w:tab/>
        <w:t xml:space="preserve">En caso de suscitarse divergencias o controversias en la interpretación o ejecución del presente convenio, se procurará un arreglo amigable y directo entre </w:t>
      </w:r>
      <w:r w:rsidR="00F20D4F" w:rsidRPr="00C124C8">
        <w:rPr>
          <w:rFonts w:ascii="Book Antiqua" w:hAnsi="Book Antiqua" w:cs="Calibri"/>
          <w:b/>
          <w:bCs/>
          <w:color w:val="000000"/>
        </w:rPr>
        <w:t>“LAS PARTES”</w:t>
      </w:r>
      <w:r w:rsidR="00F20D4F" w:rsidRPr="00C124C8">
        <w:rPr>
          <w:rFonts w:ascii="Book Antiqua" w:hAnsi="Book Antiqua" w:cs="Calibri"/>
          <w:color w:val="000000"/>
        </w:rPr>
        <w:t xml:space="preserve"> fundamentándose en principios de justicia y equidad dejando constancia en un documento suscrito por </w:t>
      </w:r>
      <w:r w:rsidR="00F20D4F" w:rsidRPr="00C124C8">
        <w:rPr>
          <w:rFonts w:ascii="Book Antiqua" w:hAnsi="Book Antiqua" w:cs="Calibri"/>
          <w:b/>
          <w:bCs/>
          <w:color w:val="000000"/>
        </w:rPr>
        <w:t>“LAS PARTES”</w:t>
      </w:r>
      <w:r w:rsidR="00F20D4F" w:rsidRPr="00C124C8">
        <w:rPr>
          <w:rFonts w:ascii="Book Antiqua" w:hAnsi="Book Antiqua" w:cs="Calibri"/>
          <w:color w:val="000000"/>
        </w:rPr>
        <w:t xml:space="preserve">. </w:t>
      </w:r>
    </w:p>
    <w:p w14:paraId="513B4704" w14:textId="77777777" w:rsidR="00F20D4F" w:rsidRPr="00C124C8" w:rsidRDefault="00F20D4F" w:rsidP="00F20D4F">
      <w:pPr>
        <w:autoSpaceDE w:val="0"/>
        <w:autoSpaceDN w:val="0"/>
        <w:adjustRightInd w:val="0"/>
        <w:spacing w:after="0" w:line="240" w:lineRule="auto"/>
        <w:jc w:val="both"/>
        <w:rPr>
          <w:rFonts w:ascii="Book Antiqua" w:hAnsi="Book Antiqua" w:cs="Calibri"/>
          <w:color w:val="000000"/>
        </w:rPr>
      </w:pPr>
    </w:p>
    <w:p w14:paraId="6A2047E1" w14:textId="77777777" w:rsidR="00F20D4F" w:rsidRPr="00C124C8" w:rsidRDefault="005A02A1" w:rsidP="00F20D4F">
      <w:pPr>
        <w:autoSpaceDE w:val="0"/>
        <w:autoSpaceDN w:val="0"/>
        <w:adjustRightInd w:val="0"/>
        <w:spacing w:after="0" w:line="240" w:lineRule="auto"/>
        <w:jc w:val="both"/>
        <w:rPr>
          <w:rFonts w:ascii="Book Antiqua" w:hAnsi="Book Antiqua" w:cs="Calibri"/>
          <w:color w:val="000000"/>
        </w:rPr>
      </w:pPr>
      <w:r w:rsidRPr="00C124C8">
        <w:rPr>
          <w:rFonts w:ascii="Book Antiqua" w:hAnsi="Book Antiqua" w:cs="Calibri"/>
          <w:b/>
          <w:bCs/>
          <w:color w:val="000000"/>
        </w:rPr>
        <w:t>9</w:t>
      </w:r>
      <w:r w:rsidR="003C3CF4" w:rsidRPr="00C124C8">
        <w:rPr>
          <w:rFonts w:ascii="Book Antiqua" w:hAnsi="Book Antiqua" w:cs="Calibri"/>
          <w:b/>
          <w:bCs/>
          <w:color w:val="000000"/>
        </w:rPr>
        <w:t>.2</w:t>
      </w:r>
      <w:r w:rsidR="00F20D4F" w:rsidRPr="00C124C8">
        <w:rPr>
          <w:rFonts w:ascii="Book Antiqua" w:hAnsi="Book Antiqua" w:cs="Calibri"/>
          <w:b/>
          <w:bCs/>
          <w:color w:val="000000"/>
        </w:rPr>
        <w:tab/>
      </w:r>
      <w:r w:rsidR="00F20D4F" w:rsidRPr="00C124C8">
        <w:rPr>
          <w:rFonts w:ascii="Book Antiqua" w:hAnsi="Book Antiqua" w:cs="Calibri"/>
          <w:color w:val="000000"/>
        </w:rPr>
        <w:t xml:space="preserve">De no existir dicho acuerdo, podrán someter la controversia al proceso de mediación como un sistema alternativo de solución de conflictos, reconocido constitucionalmente, para lo cual </w:t>
      </w:r>
      <w:r w:rsidR="00F20D4F" w:rsidRPr="00C124C8">
        <w:rPr>
          <w:rFonts w:ascii="Book Antiqua" w:hAnsi="Book Antiqua" w:cs="Calibri"/>
          <w:b/>
          <w:bCs/>
          <w:color w:val="000000"/>
        </w:rPr>
        <w:t>“LAS PARTES”</w:t>
      </w:r>
      <w:r w:rsidR="00F20D4F" w:rsidRPr="00C124C8">
        <w:rPr>
          <w:rFonts w:ascii="Book Antiqua" w:hAnsi="Book Antiqua" w:cs="Calibri"/>
          <w:color w:val="000000"/>
        </w:rPr>
        <w:t xml:space="preserve"> estipulan acudir al centro de mediación de la Procuraduría General del Estado, y; el proceso de mediación se sujetará a la Ley de Arbitraje y Mediación y al Reglamento de Funcionamiento del Centro de Mediación de la Procuraduría General del Estado. </w:t>
      </w:r>
    </w:p>
    <w:p w14:paraId="7372845D" w14:textId="77777777" w:rsidR="00F20D4F" w:rsidRPr="00C124C8" w:rsidRDefault="00F20D4F" w:rsidP="00F20D4F">
      <w:pPr>
        <w:spacing w:after="0" w:line="240" w:lineRule="auto"/>
        <w:jc w:val="both"/>
        <w:rPr>
          <w:rFonts w:ascii="Book Antiqua" w:hAnsi="Book Antiqua" w:cs="Calibri"/>
          <w:color w:val="000000"/>
        </w:rPr>
      </w:pPr>
    </w:p>
    <w:p w14:paraId="0B4CC6C5" w14:textId="77777777" w:rsidR="00F20D4F" w:rsidRPr="00C124C8" w:rsidRDefault="005A02A1" w:rsidP="00F20D4F">
      <w:pPr>
        <w:spacing w:after="0" w:line="240" w:lineRule="auto"/>
        <w:jc w:val="both"/>
        <w:rPr>
          <w:rFonts w:ascii="Book Antiqua" w:hAnsi="Book Antiqua" w:cs="Calibri"/>
          <w:color w:val="000000"/>
        </w:rPr>
      </w:pPr>
      <w:r w:rsidRPr="00C124C8">
        <w:rPr>
          <w:rFonts w:ascii="Book Antiqua" w:hAnsi="Book Antiqua" w:cs="Calibri"/>
          <w:b/>
          <w:bCs/>
          <w:color w:val="000000"/>
        </w:rPr>
        <w:t>9</w:t>
      </w:r>
      <w:r w:rsidR="00B5417C" w:rsidRPr="00C124C8">
        <w:rPr>
          <w:rFonts w:ascii="Book Antiqua" w:hAnsi="Book Antiqua" w:cs="Calibri"/>
          <w:b/>
          <w:bCs/>
          <w:color w:val="000000"/>
        </w:rPr>
        <w:t>.3</w:t>
      </w:r>
      <w:r w:rsidR="00F20D4F" w:rsidRPr="00C124C8">
        <w:rPr>
          <w:rFonts w:ascii="Book Antiqua" w:hAnsi="Book Antiqua" w:cs="Calibri"/>
          <w:b/>
          <w:bCs/>
          <w:color w:val="000000"/>
        </w:rPr>
        <w:tab/>
      </w:r>
      <w:r w:rsidR="00F20D4F" w:rsidRPr="00C124C8">
        <w:rPr>
          <w:rFonts w:ascii="Book Antiqua" w:hAnsi="Book Antiqua" w:cs="Calibri"/>
          <w:color w:val="000000"/>
        </w:rPr>
        <w:t xml:space="preserve">En caso de que </w:t>
      </w:r>
      <w:r w:rsidR="00F20D4F" w:rsidRPr="00C124C8">
        <w:rPr>
          <w:rFonts w:ascii="Book Antiqua" w:hAnsi="Book Antiqua" w:cs="Calibri"/>
          <w:b/>
          <w:bCs/>
          <w:color w:val="000000"/>
        </w:rPr>
        <w:t>“LAS PARTES”</w:t>
      </w:r>
      <w:r w:rsidR="00F20D4F" w:rsidRPr="00C124C8">
        <w:rPr>
          <w:rFonts w:ascii="Book Antiqua" w:hAnsi="Book Antiqua" w:cs="Calibri"/>
          <w:color w:val="000000"/>
        </w:rPr>
        <w:t xml:space="preserve"> suscriban la respectiva acta de imposibilidad de acuerdo, las controversias se someterán al proceso contencioso administrativo previsto en el Código Orgánico General de Procesos, ante el Tribunal de lo Contencioso Administrativo del cantón Guayaquil, provincia de </w:t>
      </w:r>
      <w:r w:rsidRPr="00C124C8">
        <w:rPr>
          <w:rFonts w:ascii="Book Antiqua" w:hAnsi="Book Antiqua" w:cs="Calibri"/>
          <w:color w:val="000000"/>
        </w:rPr>
        <w:t>Guayas</w:t>
      </w:r>
      <w:r w:rsidR="00F20D4F" w:rsidRPr="00C124C8">
        <w:rPr>
          <w:rFonts w:ascii="Book Antiqua" w:hAnsi="Book Antiqua" w:cs="Calibri"/>
          <w:color w:val="000000"/>
        </w:rPr>
        <w:t xml:space="preserve">. </w:t>
      </w:r>
    </w:p>
    <w:p w14:paraId="1B722519" w14:textId="77777777" w:rsidR="006E19B8" w:rsidRPr="00C124C8" w:rsidRDefault="006E19B8" w:rsidP="006E19B8">
      <w:pPr>
        <w:spacing w:line="276" w:lineRule="auto"/>
        <w:jc w:val="both"/>
        <w:rPr>
          <w:rFonts w:ascii="Book Antiqua" w:eastAsia="Calibri" w:hAnsi="Book Antiqua"/>
          <w:lang w:eastAsia="en-US"/>
        </w:rPr>
      </w:pPr>
    </w:p>
    <w:p w14:paraId="0505E609"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w:t>
      </w:r>
      <w:r w:rsidR="005A02A1" w:rsidRPr="00C124C8">
        <w:rPr>
          <w:rFonts w:ascii="Book Antiqua" w:eastAsia="Calibri" w:hAnsi="Book Antiqua"/>
          <w:b/>
          <w:bCs/>
          <w:lang w:eastAsia="en-US"/>
        </w:rPr>
        <w:t>DÉCIMA</w:t>
      </w:r>
      <w:r w:rsidRPr="00C124C8">
        <w:rPr>
          <w:rFonts w:ascii="Book Antiqua" w:eastAsia="Calibri" w:hAnsi="Book Antiqua"/>
          <w:b/>
          <w:bCs/>
          <w:lang w:eastAsia="en-US"/>
        </w:rPr>
        <w:t xml:space="preserve">: TERMINACIÓN DEL </w:t>
      </w:r>
      <w:r w:rsidR="007477F0" w:rsidRPr="00C124C8">
        <w:rPr>
          <w:rFonts w:ascii="Book Antiqua" w:eastAsia="Calibri" w:hAnsi="Book Antiqua"/>
          <w:b/>
          <w:bCs/>
          <w:lang w:eastAsia="en-US"/>
        </w:rPr>
        <w:t>CONVENIO. -</w:t>
      </w:r>
    </w:p>
    <w:p w14:paraId="4E56925A"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El presente Convenio de Cooperación se dará por terminado por cualquier de las siguientes causas:</w:t>
      </w:r>
    </w:p>
    <w:p w14:paraId="6A39718A" w14:textId="77777777" w:rsidR="006E19B8" w:rsidRPr="00C124C8" w:rsidRDefault="006E19B8" w:rsidP="006E19B8">
      <w:pPr>
        <w:numPr>
          <w:ilvl w:val="0"/>
          <w:numId w:val="7"/>
        </w:numPr>
        <w:spacing w:line="276" w:lineRule="auto"/>
        <w:contextualSpacing/>
        <w:jc w:val="both"/>
        <w:rPr>
          <w:rFonts w:ascii="Book Antiqua" w:eastAsia="Calibri" w:hAnsi="Book Antiqua"/>
          <w:lang w:val="es-ES" w:eastAsia="en-US"/>
        </w:rPr>
      </w:pPr>
      <w:r w:rsidRPr="00C124C8">
        <w:rPr>
          <w:rFonts w:ascii="Book Antiqua" w:eastAsia="Calibri" w:hAnsi="Book Antiqua"/>
          <w:lang w:val="es-ES" w:eastAsia="en-US"/>
        </w:rPr>
        <w:t>Por cumplimiento del plazo;</w:t>
      </w:r>
    </w:p>
    <w:p w14:paraId="38C5BC16" w14:textId="77777777" w:rsidR="006E19B8" w:rsidRPr="00C124C8" w:rsidRDefault="006E19B8" w:rsidP="006E19B8">
      <w:pPr>
        <w:numPr>
          <w:ilvl w:val="0"/>
          <w:numId w:val="7"/>
        </w:numPr>
        <w:spacing w:line="276" w:lineRule="auto"/>
        <w:contextualSpacing/>
        <w:jc w:val="both"/>
        <w:rPr>
          <w:rFonts w:ascii="Book Antiqua" w:eastAsia="Calibri" w:hAnsi="Book Antiqua"/>
          <w:lang w:val="es-ES" w:eastAsia="en-US"/>
        </w:rPr>
      </w:pPr>
      <w:r w:rsidRPr="00C124C8">
        <w:rPr>
          <w:rFonts w:ascii="Book Antiqua" w:eastAsia="Calibri" w:hAnsi="Book Antiqua"/>
          <w:lang w:val="es-ES" w:eastAsia="en-US"/>
        </w:rPr>
        <w:t>Por mutuo acuerdo de las partes</w:t>
      </w:r>
      <w:r w:rsidR="00EE28F2" w:rsidRPr="00C124C8">
        <w:rPr>
          <w:rFonts w:ascii="Book Antiqua" w:eastAsia="Calibri" w:hAnsi="Book Antiqua"/>
          <w:lang w:val="es-ES" w:eastAsia="en-US"/>
        </w:rPr>
        <w:t>,</w:t>
      </w:r>
      <w:r w:rsidR="00EE28F2" w:rsidRPr="00C124C8">
        <w:rPr>
          <w:rFonts w:ascii="Book Antiqua" w:eastAsia="Times New Roman" w:hAnsi="Book Antiqua"/>
          <w:color w:val="000000"/>
        </w:rPr>
        <w:t xml:space="preserve"> cuando por circunstancias imprevistas, técnicas o económicas, o causas de fuerza mayor o caso fortuito, no fuere posible o conveniente para los intereses de las Partes, ejecutar total o parcialmente el convenio, conviniendo en la extinción de todas o algunas de las obligaciones pactadas, en el estado en que se encuentren. La terminación por mutuo acuerdo no implicará renuncia a derechos causados o adquiridos en favor de las Partes</w:t>
      </w:r>
      <w:r w:rsidRPr="00C124C8">
        <w:rPr>
          <w:rFonts w:ascii="Book Antiqua" w:eastAsia="Calibri" w:hAnsi="Book Antiqua"/>
          <w:lang w:val="es-ES" w:eastAsia="en-US"/>
        </w:rPr>
        <w:t>;</w:t>
      </w:r>
    </w:p>
    <w:p w14:paraId="14CD62A0" w14:textId="77777777" w:rsidR="00B87BC2" w:rsidRPr="00C124C8" w:rsidRDefault="006E19B8" w:rsidP="000249DD">
      <w:pPr>
        <w:numPr>
          <w:ilvl w:val="0"/>
          <w:numId w:val="7"/>
        </w:numPr>
        <w:spacing w:line="276" w:lineRule="auto"/>
        <w:contextualSpacing/>
        <w:jc w:val="both"/>
        <w:rPr>
          <w:rFonts w:ascii="Book Antiqua" w:eastAsia="Calibri" w:hAnsi="Book Antiqua"/>
          <w:lang w:val="es-ES" w:eastAsia="en-US"/>
        </w:rPr>
      </w:pPr>
      <w:r w:rsidRPr="00C124C8">
        <w:rPr>
          <w:rFonts w:ascii="Book Antiqua" w:eastAsia="Calibri" w:hAnsi="Book Antiqua"/>
          <w:lang w:val="es-ES" w:eastAsia="en-US"/>
        </w:rPr>
        <w:t>Por liquidación, disolución, fusión, escisión o extinción de la personería de las partes</w:t>
      </w:r>
      <w:r w:rsidR="00B87BC2" w:rsidRPr="00C124C8">
        <w:rPr>
          <w:rFonts w:ascii="Book Antiqua" w:eastAsia="Calibri" w:hAnsi="Book Antiqua"/>
          <w:lang w:val="es-ES" w:eastAsia="en-US"/>
        </w:rPr>
        <w:t>.</w:t>
      </w:r>
    </w:p>
    <w:p w14:paraId="264D444E" w14:textId="77777777" w:rsidR="000249DD" w:rsidRPr="00C124C8" w:rsidRDefault="006E19B8" w:rsidP="000249DD">
      <w:pPr>
        <w:numPr>
          <w:ilvl w:val="0"/>
          <w:numId w:val="7"/>
        </w:numPr>
        <w:spacing w:line="276" w:lineRule="auto"/>
        <w:contextualSpacing/>
        <w:jc w:val="both"/>
        <w:rPr>
          <w:rFonts w:ascii="Book Antiqua" w:eastAsia="Calibri" w:hAnsi="Book Antiqua"/>
          <w:lang w:val="es-ES" w:eastAsia="en-US"/>
        </w:rPr>
      </w:pPr>
      <w:r w:rsidRPr="00C124C8">
        <w:rPr>
          <w:rFonts w:ascii="Book Antiqua" w:eastAsia="Calibri" w:hAnsi="Book Antiqua"/>
          <w:lang w:val="es-ES" w:eastAsia="en-US"/>
        </w:rPr>
        <w:t>Por decisión administrativa, Acta de Mediación, Auto o Sentencia Judicial que dispusiere su terminación;</w:t>
      </w:r>
    </w:p>
    <w:p w14:paraId="7D42364E" w14:textId="77777777" w:rsidR="00F000FA" w:rsidRPr="00C124C8" w:rsidRDefault="00F000FA" w:rsidP="000249DD">
      <w:pPr>
        <w:numPr>
          <w:ilvl w:val="0"/>
          <w:numId w:val="7"/>
        </w:numPr>
        <w:spacing w:line="276" w:lineRule="auto"/>
        <w:contextualSpacing/>
        <w:jc w:val="both"/>
        <w:rPr>
          <w:rFonts w:ascii="Book Antiqua" w:eastAsia="Calibri" w:hAnsi="Book Antiqua"/>
          <w:lang w:val="es-ES" w:eastAsia="en-US"/>
        </w:rPr>
      </w:pPr>
      <w:r w:rsidRPr="00C124C8">
        <w:rPr>
          <w:rFonts w:ascii="Book Antiqua" w:eastAsia="Calibri" w:hAnsi="Book Antiqua"/>
          <w:lang w:val="es-ES" w:eastAsia="en-US"/>
        </w:rPr>
        <w:t xml:space="preserve">Por terminación anticipada unilateral declarada por una de las Partes, motivada por el incumplimiento de las obligaciones adquiridas o por la cesión total o parcial de las obligaciones del presente instrumento, sin causa legal o autorización previa, para lo cual deberá notificar su decisión con 30 días de anticipación </w:t>
      </w:r>
      <w:r w:rsidRPr="00C124C8">
        <w:rPr>
          <w:rFonts w:ascii="Book Antiqua" w:eastAsia="Times New Roman" w:hAnsi="Book Antiqua"/>
          <w:color w:val="000000"/>
        </w:rPr>
        <w:t>a fin de que ésta cumpla o justifique debidamente en un término de diez (10) días. De no remediar o justificar el incumplimiento, la o las Partes interesadas podrá terminar unilateralmente el convenio marco, para lo cual notificará a la contraparte con la Resolución de Terminación Unilateral del convenio debidamente motivada.</w:t>
      </w:r>
    </w:p>
    <w:p w14:paraId="702A4399" w14:textId="77777777" w:rsidR="000249DD" w:rsidRPr="00C124C8" w:rsidRDefault="000249DD" w:rsidP="006E19B8">
      <w:pPr>
        <w:spacing w:line="276" w:lineRule="auto"/>
        <w:jc w:val="both"/>
        <w:rPr>
          <w:rFonts w:ascii="Book Antiqua" w:eastAsia="Calibri" w:hAnsi="Book Antiqua"/>
          <w:lang w:val="es-ES" w:eastAsia="en-US"/>
        </w:rPr>
      </w:pPr>
    </w:p>
    <w:p w14:paraId="207028C3" w14:textId="77777777" w:rsidR="006E19B8" w:rsidRPr="00C124C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val="es-ES" w:eastAsia="en-US"/>
        </w:rPr>
        <w:t>Concluido el convenio, las partes se obligan a suscribir e</w:t>
      </w:r>
      <w:r w:rsidR="00BC3315" w:rsidRPr="00C124C8">
        <w:rPr>
          <w:rFonts w:ascii="Book Antiqua" w:eastAsia="Calibri" w:hAnsi="Book Antiqua"/>
          <w:lang w:val="es-ES" w:eastAsia="en-US"/>
        </w:rPr>
        <w:t>n un término no mayor a treinta (3</w:t>
      </w:r>
      <w:r w:rsidRPr="00C124C8">
        <w:rPr>
          <w:rFonts w:ascii="Book Antiqua" w:eastAsia="Calibri" w:hAnsi="Book Antiqua"/>
          <w:lang w:val="es-ES" w:eastAsia="en-US"/>
        </w:rPr>
        <w:t xml:space="preserve">0) días, un Acta de </w:t>
      </w:r>
      <w:r w:rsidR="000249DD" w:rsidRPr="00C124C8">
        <w:rPr>
          <w:rFonts w:ascii="Book Antiqua" w:eastAsia="Calibri" w:hAnsi="Book Antiqua"/>
          <w:lang w:val="es-ES" w:eastAsia="en-US"/>
        </w:rPr>
        <w:t>Cierre</w:t>
      </w:r>
      <w:r w:rsidRPr="00C124C8">
        <w:rPr>
          <w:rFonts w:ascii="Book Antiqua" w:eastAsia="Calibri" w:hAnsi="Book Antiqua"/>
          <w:lang w:val="es-ES" w:eastAsia="en-US"/>
        </w:rPr>
        <w:t>, donde dejen constancias de las actuaciones realizadas, resultados alcanzados y liquidación del convenio.</w:t>
      </w:r>
    </w:p>
    <w:p w14:paraId="09D89523"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CLÁUSULA DÉCIMA</w:t>
      </w:r>
      <w:r w:rsidR="005A02A1" w:rsidRPr="00C124C8">
        <w:rPr>
          <w:rFonts w:ascii="Book Antiqua" w:eastAsia="Calibri" w:hAnsi="Book Antiqua"/>
          <w:b/>
          <w:bCs/>
          <w:lang w:eastAsia="en-US"/>
        </w:rPr>
        <w:t xml:space="preserve"> PRIMERA</w:t>
      </w:r>
      <w:r w:rsidRPr="00C124C8">
        <w:rPr>
          <w:rFonts w:ascii="Book Antiqua" w:eastAsia="Calibri" w:hAnsi="Book Antiqua"/>
          <w:b/>
          <w:bCs/>
          <w:lang w:eastAsia="en-US"/>
        </w:rPr>
        <w:t xml:space="preserve">: MODIFICACIONES Y CONVENIOS </w:t>
      </w:r>
      <w:r w:rsidR="00CB6EA0" w:rsidRPr="00C124C8">
        <w:rPr>
          <w:rFonts w:ascii="Book Antiqua" w:eastAsia="Calibri" w:hAnsi="Book Antiqua"/>
          <w:b/>
          <w:bCs/>
          <w:lang w:eastAsia="en-US"/>
        </w:rPr>
        <w:t>ESPECÍFICOS. -</w:t>
      </w:r>
    </w:p>
    <w:p w14:paraId="54DE2074" w14:textId="77777777" w:rsidR="00EE28F2" w:rsidRPr="00C124C8" w:rsidRDefault="00EE28F2" w:rsidP="00EE28F2">
      <w:pPr>
        <w:spacing w:after="0" w:line="240" w:lineRule="auto"/>
        <w:jc w:val="both"/>
        <w:rPr>
          <w:rFonts w:ascii="Book Antiqua" w:hAnsi="Book Antiqua" w:cs="Calibri"/>
          <w:color w:val="000000"/>
        </w:rPr>
      </w:pPr>
      <w:r w:rsidRPr="00C124C8">
        <w:rPr>
          <w:rFonts w:ascii="Book Antiqua" w:hAnsi="Book Antiqua" w:cs="Calibri"/>
          <w:color w:val="000000"/>
        </w:rPr>
        <w:t xml:space="preserve">Cualquier revisión, enmienda, ampliación, modificación total o parcial del presente convenio, será efectuada por mutuo acuerdo entre </w:t>
      </w:r>
      <w:r w:rsidRPr="00C124C8">
        <w:rPr>
          <w:rFonts w:ascii="Book Antiqua" w:hAnsi="Book Antiqua" w:cs="Calibri"/>
          <w:b/>
          <w:bCs/>
          <w:color w:val="000000"/>
        </w:rPr>
        <w:t>“LAS PARTES”</w:t>
      </w:r>
      <w:r w:rsidRPr="00C124C8">
        <w:rPr>
          <w:rFonts w:ascii="Book Antiqua" w:hAnsi="Book Antiqua" w:cs="Calibri"/>
          <w:color w:val="000000"/>
        </w:rPr>
        <w:t xml:space="preserve">, de manera expresa, mediante la firma de convenios modificatorios, salvo su objeto, que no podrá ser modificado. </w:t>
      </w:r>
    </w:p>
    <w:p w14:paraId="688FD994" w14:textId="77777777" w:rsidR="00EE28F2" w:rsidRPr="00C124C8" w:rsidRDefault="00EE28F2" w:rsidP="00EE28F2">
      <w:pPr>
        <w:spacing w:after="0" w:line="240" w:lineRule="auto"/>
        <w:ind w:left="360"/>
        <w:jc w:val="both"/>
        <w:rPr>
          <w:rFonts w:ascii="Book Antiqua" w:hAnsi="Book Antiqua" w:cs="Calibri"/>
          <w:color w:val="000000"/>
        </w:rPr>
      </w:pPr>
    </w:p>
    <w:p w14:paraId="719B01FE" w14:textId="77777777" w:rsidR="00EE28F2" w:rsidRPr="00C124C8" w:rsidRDefault="00EE28F2" w:rsidP="00EE28F2">
      <w:pPr>
        <w:tabs>
          <w:tab w:val="left" w:pos="426"/>
        </w:tabs>
        <w:spacing w:after="0" w:line="240" w:lineRule="auto"/>
        <w:jc w:val="both"/>
        <w:rPr>
          <w:rFonts w:ascii="Book Antiqua" w:hAnsi="Book Antiqua" w:cs="Calibri"/>
          <w:color w:val="000000"/>
        </w:rPr>
      </w:pPr>
      <w:r w:rsidRPr="00C124C8">
        <w:rPr>
          <w:rFonts w:ascii="Book Antiqua" w:hAnsi="Book Antiqua" w:cs="Calibri"/>
          <w:color w:val="000000"/>
        </w:rPr>
        <w:t xml:space="preserve">Previa a la aceptación de la modificación solicitada, las autoridades suscritoras de </w:t>
      </w:r>
      <w:r w:rsidRPr="00C124C8">
        <w:rPr>
          <w:rFonts w:ascii="Book Antiqua" w:hAnsi="Book Antiqua" w:cs="Calibri"/>
          <w:b/>
          <w:bCs/>
          <w:color w:val="000000"/>
        </w:rPr>
        <w:t>“LAS PARTES”</w:t>
      </w:r>
      <w:r w:rsidRPr="00C124C8">
        <w:rPr>
          <w:rFonts w:ascii="Book Antiqua" w:hAnsi="Book Antiqua" w:cs="Calibri"/>
          <w:color w:val="000000"/>
        </w:rPr>
        <w:t xml:space="preserve"> someterán este pedido al análisis de sus áreas técnicas y jurídicas correspondientes, quienes analizarán la pertinencia de los ajustes y de ser el caso, recomendarán aceptar los cambios correspondientes y plasm</w:t>
      </w:r>
      <w:r w:rsidR="00CB6EA0" w:rsidRPr="00C124C8">
        <w:rPr>
          <w:rFonts w:ascii="Book Antiqua" w:hAnsi="Book Antiqua" w:cs="Calibri"/>
          <w:color w:val="000000"/>
        </w:rPr>
        <w:t>arlos en convenios modificatorio</w:t>
      </w:r>
      <w:r w:rsidRPr="00C124C8">
        <w:rPr>
          <w:rFonts w:ascii="Book Antiqua" w:hAnsi="Book Antiqua" w:cs="Calibri"/>
          <w:color w:val="000000"/>
        </w:rPr>
        <w:t xml:space="preserve">s. </w:t>
      </w:r>
    </w:p>
    <w:p w14:paraId="62A85772" w14:textId="77777777" w:rsidR="00EE28F2" w:rsidRPr="00C124C8" w:rsidRDefault="00EE28F2" w:rsidP="00EE28F2">
      <w:pPr>
        <w:tabs>
          <w:tab w:val="left" w:pos="426"/>
        </w:tabs>
        <w:spacing w:after="0" w:line="240" w:lineRule="auto"/>
        <w:jc w:val="both"/>
        <w:rPr>
          <w:rFonts w:ascii="Book Antiqua" w:hAnsi="Book Antiqua" w:cs="Calibri"/>
          <w:color w:val="000000"/>
        </w:rPr>
      </w:pPr>
    </w:p>
    <w:p w14:paraId="6F2F9916" w14:textId="77777777" w:rsidR="00EE28F2" w:rsidRPr="00C124C8" w:rsidRDefault="00EE28F2" w:rsidP="00EE28F2">
      <w:pPr>
        <w:tabs>
          <w:tab w:val="left" w:pos="426"/>
        </w:tabs>
        <w:spacing w:after="0" w:line="240" w:lineRule="auto"/>
        <w:jc w:val="both"/>
        <w:rPr>
          <w:rFonts w:ascii="Book Antiqua" w:hAnsi="Book Antiqua" w:cs="Calibri"/>
          <w:color w:val="000000"/>
        </w:rPr>
      </w:pPr>
      <w:r w:rsidRPr="00C124C8">
        <w:rPr>
          <w:rFonts w:ascii="Book Antiqua" w:hAnsi="Book Antiqua" w:cs="Calibri"/>
          <w:color w:val="000000"/>
        </w:rPr>
        <w:t xml:space="preserve">En el caso de ajustes de forma, los mismos podrán ser realizados directamente, por los administradores mediante oficio. </w:t>
      </w:r>
    </w:p>
    <w:p w14:paraId="1010D7AF" w14:textId="77777777" w:rsidR="00EE28F2" w:rsidRPr="00C124C8" w:rsidRDefault="00EE28F2" w:rsidP="00EE28F2">
      <w:pPr>
        <w:spacing w:after="0" w:line="240" w:lineRule="auto"/>
        <w:jc w:val="both"/>
        <w:rPr>
          <w:rFonts w:ascii="Book Antiqua" w:eastAsia="Cambria" w:hAnsi="Book Antiqua" w:cs="Calibri"/>
          <w:b/>
          <w:color w:val="000000"/>
          <w:shd w:val="clear" w:color="auto" w:fill="FFFFFF"/>
        </w:rPr>
      </w:pPr>
    </w:p>
    <w:p w14:paraId="712EFD42" w14:textId="77777777" w:rsidR="00C53EA1" w:rsidRPr="00C124C8" w:rsidRDefault="00C53EA1" w:rsidP="00C53EA1">
      <w:pPr>
        <w:spacing w:after="0" w:line="240" w:lineRule="auto"/>
        <w:jc w:val="both"/>
        <w:rPr>
          <w:rFonts w:ascii="Book Antiqua" w:eastAsia="Calibri" w:hAnsi="Book Antiqua" w:cs="Calibri"/>
          <w:bCs/>
          <w:color w:val="000000"/>
          <w:lang w:eastAsia="en-US"/>
        </w:rPr>
      </w:pPr>
      <w:r w:rsidRPr="00C124C8">
        <w:rPr>
          <w:rFonts w:ascii="Book Antiqua" w:eastAsia="Calibri" w:hAnsi="Book Antiqua" w:cs="Calibri"/>
          <w:bCs/>
          <w:color w:val="000000"/>
          <w:lang w:eastAsia="en-US"/>
        </w:rPr>
        <w:t xml:space="preserve">Para los fines de la ejecución de las actividades contempladas en este instrumento, </w:t>
      </w:r>
      <w:r w:rsidRPr="00C124C8">
        <w:rPr>
          <w:rFonts w:ascii="Book Antiqua" w:eastAsia="Calibri" w:hAnsi="Book Antiqua" w:cs="Calibri"/>
          <w:b/>
          <w:bCs/>
          <w:lang w:eastAsia="en-US"/>
        </w:rPr>
        <w:t>“LAS PARTES”</w:t>
      </w:r>
      <w:r w:rsidRPr="00C124C8">
        <w:rPr>
          <w:rFonts w:ascii="Book Antiqua" w:eastAsia="Calibri" w:hAnsi="Book Antiqua" w:cs="Calibri"/>
          <w:bCs/>
          <w:color w:val="000000"/>
          <w:lang w:eastAsia="en-US"/>
        </w:rPr>
        <w:t xml:space="preserve"> podrán suscribir convenios específicos en los que se detallarán las actividades, compromisos y financiamiento asumidos por cada una de las entidades cooperantes.</w:t>
      </w:r>
    </w:p>
    <w:p w14:paraId="32B6BF05" w14:textId="77777777" w:rsidR="00C124C8" w:rsidRDefault="00C124C8" w:rsidP="006E19B8">
      <w:pPr>
        <w:spacing w:line="276" w:lineRule="auto"/>
        <w:jc w:val="both"/>
        <w:rPr>
          <w:rFonts w:ascii="Book Antiqua" w:eastAsia="Calibri" w:hAnsi="Book Antiqua"/>
          <w:lang w:val="es-ES" w:eastAsia="en-US"/>
        </w:rPr>
      </w:pPr>
    </w:p>
    <w:p w14:paraId="27CAE7FA"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DÉCIMA </w:t>
      </w:r>
      <w:r w:rsidR="005A02A1" w:rsidRPr="00C124C8">
        <w:rPr>
          <w:rFonts w:ascii="Book Antiqua" w:eastAsia="Calibri" w:hAnsi="Book Antiqua"/>
          <w:b/>
          <w:bCs/>
          <w:lang w:eastAsia="en-US"/>
        </w:rPr>
        <w:t>SEGUNDA</w:t>
      </w:r>
      <w:r w:rsidRPr="00C124C8">
        <w:rPr>
          <w:rFonts w:ascii="Book Antiqua" w:eastAsia="Calibri" w:hAnsi="Book Antiqua"/>
          <w:b/>
          <w:bCs/>
          <w:lang w:eastAsia="en-US"/>
        </w:rPr>
        <w:t xml:space="preserve">: CONFIDENCIALIDAD Y PROTECCIÓN DE DATOS </w:t>
      </w:r>
      <w:r w:rsidR="00360A25" w:rsidRPr="00C124C8">
        <w:rPr>
          <w:rFonts w:ascii="Book Antiqua" w:eastAsia="Calibri" w:hAnsi="Book Antiqua"/>
          <w:b/>
          <w:bCs/>
          <w:lang w:eastAsia="en-US"/>
        </w:rPr>
        <w:t>PERSONALES. -</w:t>
      </w:r>
    </w:p>
    <w:p w14:paraId="2E322E66"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Toda la información a que las partes tengan acceso como consecuencia del presente Convenio, incluida la propia existencia y las condiciones del mismo, tendrá el carácter de información confidencial, excepto aquello que sea de dominio público, y no será revelada a terceros ni utilizada, directa o indirectamente, para fines diferentes a los previstos en el presente Convenio. La información será suministrada únicamente al personal autorizado que deba intervenir en la ejecución del presente Convenio. Estas obligaciones subsistirán durante todo el periodo de duración del presente Convenio y por un plazo de cinco (5) años desde la finalización del mismo.</w:t>
      </w:r>
    </w:p>
    <w:p w14:paraId="562ACAF5" w14:textId="77777777" w:rsidR="006E19B8" w:rsidRPr="00C124C8" w:rsidRDefault="00AA66EE" w:rsidP="006D17CE">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Sin perjuicio de que la</w:t>
      </w:r>
      <w:r w:rsidR="006E19B8" w:rsidRPr="00C124C8">
        <w:rPr>
          <w:rFonts w:ascii="Book Antiqua" w:eastAsia="Calibri" w:hAnsi="Book Antiqua"/>
          <w:lang w:val="es-ES" w:eastAsia="en-US"/>
        </w:rPr>
        <w:t>s partes reconocen que recabar datos de carácter personal no constituye el objeto del presente Convenio</w:t>
      </w:r>
      <w:r w:rsidR="006D17CE" w:rsidRPr="00C124C8">
        <w:rPr>
          <w:rFonts w:ascii="Book Antiqua" w:eastAsia="Calibri" w:hAnsi="Book Antiqua"/>
          <w:lang w:val="es-ES" w:eastAsia="en-US"/>
        </w:rPr>
        <w:t xml:space="preserve">; en caso de hacerlo, “LAS PARTES” se sujetarán a las disposiciones constantes en la Ley Orgánica de Protección de Datos Personales. </w:t>
      </w:r>
    </w:p>
    <w:p w14:paraId="42B8F2EB" w14:textId="77777777" w:rsidR="005A02A1" w:rsidRPr="00C124C8" w:rsidRDefault="005A02A1" w:rsidP="005A02A1">
      <w:pPr>
        <w:spacing w:after="0" w:line="240" w:lineRule="auto"/>
        <w:jc w:val="both"/>
        <w:rPr>
          <w:rFonts w:ascii="Book Antiqua" w:eastAsia="Cambria" w:hAnsi="Book Antiqua" w:cs="Calibri"/>
          <w:b/>
          <w:bCs/>
          <w:color w:val="000000"/>
          <w:shd w:val="clear" w:color="auto" w:fill="FFFFFF"/>
          <w:lang w:val="es-US"/>
        </w:rPr>
      </w:pPr>
    </w:p>
    <w:p w14:paraId="4C4BFA03" w14:textId="77777777" w:rsidR="005A02A1" w:rsidRPr="00C124C8" w:rsidRDefault="005A02A1" w:rsidP="005A02A1">
      <w:pPr>
        <w:spacing w:after="0" w:line="240" w:lineRule="auto"/>
        <w:jc w:val="both"/>
        <w:rPr>
          <w:rFonts w:ascii="Book Antiqua" w:eastAsia="Cambria" w:hAnsi="Book Antiqua" w:cs="Calibri"/>
          <w:color w:val="000000"/>
          <w:shd w:val="clear" w:color="auto" w:fill="FFFFFF"/>
          <w:lang w:val="es-US"/>
        </w:rPr>
      </w:pPr>
      <w:r w:rsidRPr="00C124C8">
        <w:rPr>
          <w:rFonts w:ascii="Book Antiqua" w:eastAsia="Cambria" w:hAnsi="Book Antiqua" w:cs="Calibri"/>
          <w:b/>
          <w:bCs/>
          <w:color w:val="000000"/>
          <w:shd w:val="clear" w:color="auto" w:fill="FFFFFF"/>
          <w:lang w:val="es-US"/>
        </w:rPr>
        <w:t xml:space="preserve">CLÁUSULA DÉCIMA </w:t>
      </w:r>
      <w:r w:rsidR="00C928EF">
        <w:rPr>
          <w:rFonts w:ascii="Book Antiqua" w:eastAsia="Cambria" w:hAnsi="Book Antiqua" w:cs="Calibri"/>
          <w:b/>
          <w:bCs/>
          <w:color w:val="000000"/>
          <w:shd w:val="clear" w:color="auto" w:fill="FFFFFF"/>
          <w:lang w:val="es-US"/>
        </w:rPr>
        <w:t>TERCERA</w:t>
      </w:r>
      <w:r w:rsidRPr="00C124C8">
        <w:rPr>
          <w:rFonts w:ascii="Book Antiqua" w:eastAsia="Cambria" w:hAnsi="Book Antiqua" w:cs="Calibri"/>
          <w:b/>
          <w:bCs/>
          <w:color w:val="000000"/>
          <w:shd w:val="clear" w:color="auto" w:fill="FFFFFF"/>
          <w:lang w:val="es-US"/>
        </w:rPr>
        <w:t>. - DOMICILIO Y COMUNICACIONES:</w:t>
      </w:r>
      <w:r w:rsidRPr="00C124C8">
        <w:rPr>
          <w:rFonts w:ascii="Book Antiqua" w:eastAsia="Cambria" w:hAnsi="Book Antiqua" w:cs="Calibri"/>
          <w:color w:val="000000"/>
          <w:shd w:val="clear" w:color="auto" w:fill="FFFFFF"/>
          <w:lang w:val="es-US"/>
        </w:rPr>
        <w:t xml:space="preserve"> </w:t>
      </w:r>
    </w:p>
    <w:p w14:paraId="19C31A5C" w14:textId="77777777" w:rsidR="005A02A1" w:rsidRPr="00C124C8" w:rsidRDefault="005A02A1" w:rsidP="005A02A1">
      <w:pPr>
        <w:spacing w:after="0" w:line="240" w:lineRule="auto"/>
        <w:jc w:val="both"/>
        <w:rPr>
          <w:rFonts w:ascii="Book Antiqua" w:eastAsia="Cambria" w:hAnsi="Book Antiqua" w:cs="Calibri"/>
          <w:color w:val="000000"/>
          <w:shd w:val="clear" w:color="auto" w:fill="FFFFFF"/>
          <w:lang w:val="es-US"/>
        </w:rPr>
      </w:pPr>
    </w:p>
    <w:p w14:paraId="6CD70A05" w14:textId="77777777" w:rsidR="005A02A1" w:rsidRPr="00C124C8" w:rsidRDefault="005A02A1" w:rsidP="005A02A1">
      <w:pPr>
        <w:spacing w:after="0" w:line="240" w:lineRule="auto"/>
        <w:jc w:val="both"/>
        <w:rPr>
          <w:rFonts w:ascii="Book Antiqua" w:eastAsia="Cambria" w:hAnsi="Book Antiqua" w:cs="Calibri"/>
          <w:color w:val="000000"/>
          <w:shd w:val="clear" w:color="auto" w:fill="FFFFFF"/>
          <w:lang w:val="es-US"/>
        </w:rPr>
      </w:pPr>
      <w:r w:rsidRPr="00C124C8">
        <w:rPr>
          <w:rFonts w:ascii="Book Antiqua" w:eastAsia="Cambria" w:hAnsi="Book Antiqua" w:cs="Calibri"/>
          <w:color w:val="000000"/>
          <w:shd w:val="clear" w:color="auto" w:fill="FFFFFF"/>
          <w:lang w:val="es-US"/>
        </w:rPr>
        <w:t xml:space="preserve">Para todos los efectos previstos en este Convenio, las comunicaciones deberán ser enviadas por escrito, bastando en cada caso, que el remitente tenga la correspondiente constancia de que su comunicación ha sido recibida en la dirección señalada por la otra Parte. Los comparecientes señalan para las notificaciones que les correspondan por el presente Convenio, las siguientes direcciones: </w:t>
      </w:r>
    </w:p>
    <w:p w14:paraId="10A8506A" w14:textId="77777777" w:rsidR="005A02A1" w:rsidRPr="00C124C8" w:rsidRDefault="005A02A1" w:rsidP="005A02A1">
      <w:pPr>
        <w:tabs>
          <w:tab w:val="left" w:pos="3652"/>
        </w:tabs>
        <w:autoSpaceDE w:val="0"/>
        <w:autoSpaceDN w:val="0"/>
        <w:adjustRightInd w:val="0"/>
        <w:spacing w:after="0" w:line="240" w:lineRule="auto"/>
        <w:rPr>
          <w:rFonts w:ascii="Book Antiqua" w:eastAsia="Calibri" w:hAnsi="Book Antiqua" w:cs="Calibri"/>
          <w:bCs/>
          <w:color w:val="000000"/>
          <w:lang w:eastAsia="en-US"/>
        </w:rPr>
      </w:pPr>
    </w:p>
    <w:p w14:paraId="2421A9E2" w14:textId="77777777" w:rsidR="007B6193" w:rsidRDefault="00C928EF" w:rsidP="005A02A1">
      <w:pPr>
        <w:spacing w:after="0" w:line="240" w:lineRule="auto"/>
        <w:jc w:val="both"/>
        <w:rPr>
          <w:rFonts w:ascii="Book Antiqua" w:eastAsia="Cambria" w:hAnsi="Book Antiqua" w:cs="Calibri"/>
          <w:b/>
          <w:bCs/>
          <w:color w:val="000000"/>
          <w:shd w:val="clear" w:color="auto" w:fill="FFFFFF"/>
          <w:lang w:val="es-US"/>
        </w:rPr>
      </w:pPr>
      <w:r>
        <w:rPr>
          <w:rFonts w:ascii="Book Antiqua" w:eastAsia="Cambria" w:hAnsi="Book Antiqua" w:cs="Calibri"/>
          <w:b/>
          <w:bCs/>
          <w:color w:val="000000"/>
          <w:shd w:val="clear" w:color="auto" w:fill="FFFFFF"/>
          <w:lang w:val="es-US"/>
        </w:rPr>
        <w:t>Xxxxxxxxxxxxxx</w:t>
      </w:r>
    </w:p>
    <w:p w14:paraId="3A7EFF7F" w14:textId="77777777" w:rsidR="00C928EF" w:rsidRDefault="00C928EF" w:rsidP="005A02A1">
      <w:pPr>
        <w:spacing w:after="0" w:line="240" w:lineRule="auto"/>
        <w:jc w:val="both"/>
        <w:rPr>
          <w:rFonts w:ascii="Book Antiqua" w:eastAsia="Cambria" w:hAnsi="Book Antiqua" w:cs="Calibri"/>
          <w:b/>
          <w:bCs/>
          <w:color w:val="000000"/>
          <w:shd w:val="clear" w:color="auto" w:fill="FFFFFF"/>
          <w:lang w:val="es-US"/>
        </w:rPr>
      </w:pPr>
    </w:p>
    <w:p w14:paraId="351C6E0C" w14:textId="77777777" w:rsidR="00C928EF" w:rsidRPr="00C124C8" w:rsidRDefault="00C928EF" w:rsidP="005A02A1">
      <w:pPr>
        <w:spacing w:after="0" w:line="240" w:lineRule="auto"/>
        <w:jc w:val="both"/>
        <w:rPr>
          <w:rFonts w:ascii="Book Antiqua" w:eastAsia="Cambria" w:hAnsi="Book Antiqua" w:cs="Calibri"/>
          <w:bCs/>
          <w:color w:val="000000"/>
          <w:shd w:val="clear" w:color="auto" w:fill="FFFFFF"/>
          <w:lang w:val="es-US"/>
        </w:rPr>
      </w:pPr>
    </w:p>
    <w:p w14:paraId="1EB6A411" w14:textId="77777777" w:rsidR="005A02A1" w:rsidRPr="00C124C8" w:rsidRDefault="005A02A1" w:rsidP="005A02A1">
      <w:pPr>
        <w:spacing w:after="0" w:line="240" w:lineRule="auto"/>
        <w:jc w:val="both"/>
        <w:rPr>
          <w:rFonts w:ascii="Book Antiqua" w:eastAsia="Cambria" w:hAnsi="Book Antiqua" w:cs="Calibri"/>
          <w:bCs/>
          <w:color w:val="000000"/>
          <w:shd w:val="clear" w:color="auto" w:fill="FFFFFF"/>
          <w:lang w:val="es-US"/>
        </w:rPr>
      </w:pPr>
      <w:r w:rsidRPr="00C124C8">
        <w:rPr>
          <w:rFonts w:ascii="Book Antiqua" w:eastAsia="Cambria" w:hAnsi="Book Antiqua" w:cs="Calibri"/>
          <w:bCs/>
          <w:color w:val="000000"/>
          <w:shd w:val="clear" w:color="auto" w:fill="FFFFFF"/>
          <w:lang w:val="es-US"/>
        </w:rPr>
        <w:t>En caso de cambio de dirección, es obligación de la Parte que lo genere, informar por escrito a la contraparte institucional, la nueva dirección que deberá tenerse en cuenta para tales efectos, en un plazo máximo de quince (15) días.</w:t>
      </w:r>
    </w:p>
    <w:p w14:paraId="5FC0F49E" w14:textId="77777777" w:rsidR="005A02A1" w:rsidRPr="00C124C8" w:rsidRDefault="005A02A1" w:rsidP="005A02A1">
      <w:pPr>
        <w:spacing w:after="0" w:line="240" w:lineRule="auto"/>
        <w:jc w:val="both"/>
        <w:rPr>
          <w:rFonts w:ascii="Book Antiqua" w:eastAsia="Cambria" w:hAnsi="Book Antiqua" w:cs="Calibri"/>
          <w:bCs/>
          <w:color w:val="000000"/>
          <w:shd w:val="clear" w:color="auto" w:fill="FFFFFF"/>
          <w:lang w:val="es-US"/>
        </w:rPr>
      </w:pPr>
    </w:p>
    <w:p w14:paraId="08754671" w14:textId="77777777" w:rsidR="005A02A1" w:rsidRPr="00C124C8" w:rsidRDefault="005A02A1" w:rsidP="005A02A1">
      <w:pPr>
        <w:spacing w:after="0" w:line="240" w:lineRule="auto"/>
        <w:jc w:val="both"/>
        <w:rPr>
          <w:rFonts w:ascii="Book Antiqua" w:eastAsia="Cambria" w:hAnsi="Book Antiqua" w:cs="Calibri"/>
          <w:b/>
          <w:bCs/>
          <w:color w:val="000000"/>
          <w:shd w:val="clear" w:color="auto" w:fill="FFFFFF"/>
          <w:lang w:val="es-US"/>
        </w:rPr>
      </w:pPr>
      <w:r w:rsidRPr="00C124C8">
        <w:rPr>
          <w:rFonts w:ascii="Book Antiqua" w:eastAsia="Cambria" w:hAnsi="Book Antiqua" w:cs="Calibri"/>
          <w:b/>
          <w:bCs/>
          <w:color w:val="000000"/>
          <w:shd w:val="clear" w:color="auto" w:fill="FFFFFF"/>
          <w:lang w:val="es-US"/>
        </w:rPr>
        <w:t xml:space="preserve">CLÁUSULA DÉCIMA </w:t>
      </w:r>
      <w:r w:rsidR="00C928EF">
        <w:rPr>
          <w:rFonts w:ascii="Book Antiqua" w:eastAsia="Cambria" w:hAnsi="Book Antiqua" w:cs="Calibri"/>
          <w:b/>
          <w:bCs/>
          <w:color w:val="000000"/>
          <w:shd w:val="clear" w:color="auto" w:fill="FFFFFF"/>
          <w:lang w:val="es-US"/>
        </w:rPr>
        <w:t>CUARTA</w:t>
      </w:r>
      <w:r w:rsidR="00172890" w:rsidRPr="00C124C8">
        <w:rPr>
          <w:rFonts w:ascii="Book Antiqua" w:eastAsia="Cambria" w:hAnsi="Book Antiqua" w:cs="Calibri"/>
          <w:b/>
          <w:bCs/>
          <w:color w:val="000000"/>
          <w:shd w:val="clear" w:color="auto" w:fill="FFFFFF"/>
          <w:lang w:val="es-US"/>
        </w:rPr>
        <w:t>. -</w:t>
      </w:r>
      <w:r w:rsidRPr="00C124C8">
        <w:rPr>
          <w:rFonts w:ascii="Book Antiqua" w:eastAsia="Cambria" w:hAnsi="Book Antiqua" w:cs="Calibri"/>
          <w:b/>
          <w:bCs/>
          <w:color w:val="000000"/>
          <w:shd w:val="clear" w:color="auto" w:fill="FFFFFF"/>
          <w:lang w:val="es-US"/>
        </w:rPr>
        <w:t xml:space="preserve"> DOCUMENTOS HABILITANTES:</w:t>
      </w:r>
    </w:p>
    <w:p w14:paraId="161C05E4" w14:textId="77777777" w:rsidR="005A02A1" w:rsidRPr="00C124C8" w:rsidRDefault="005A02A1" w:rsidP="005A02A1">
      <w:pPr>
        <w:tabs>
          <w:tab w:val="left" w:pos="567"/>
        </w:tabs>
        <w:autoSpaceDE w:val="0"/>
        <w:autoSpaceDN w:val="0"/>
        <w:adjustRightInd w:val="0"/>
        <w:spacing w:after="0"/>
        <w:jc w:val="both"/>
        <w:rPr>
          <w:rFonts w:ascii="Book Antiqua" w:eastAsia="Cambria" w:hAnsi="Book Antiqua" w:cs="Calibri"/>
          <w:bCs/>
          <w:color w:val="000000"/>
          <w:shd w:val="clear" w:color="auto" w:fill="FFFFFF"/>
          <w:lang w:val="es-US"/>
        </w:rPr>
      </w:pPr>
    </w:p>
    <w:p w14:paraId="4C1AAF14" w14:textId="77777777" w:rsidR="005A02A1" w:rsidRPr="00C124C8" w:rsidRDefault="005A02A1" w:rsidP="00BA49C9">
      <w:pPr>
        <w:numPr>
          <w:ilvl w:val="1"/>
          <w:numId w:val="16"/>
        </w:numPr>
        <w:tabs>
          <w:tab w:val="left" w:pos="993"/>
        </w:tabs>
        <w:autoSpaceDE w:val="0"/>
        <w:autoSpaceDN w:val="0"/>
        <w:adjustRightInd w:val="0"/>
        <w:spacing w:after="0"/>
        <w:contextualSpacing/>
        <w:jc w:val="both"/>
        <w:rPr>
          <w:rFonts w:ascii="Book Antiqua" w:eastAsia="Times New Roman" w:hAnsi="Book Antiqua" w:cs="Calibri"/>
          <w:color w:val="000000"/>
          <w:lang w:val="es-ES" w:eastAsia="zh-CN"/>
        </w:rPr>
      </w:pPr>
      <w:r w:rsidRPr="00C124C8">
        <w:rPr>
          <w:rFonts w:ascii="Book Antiqua" w:eastAsia="Times New Roman" w:hAnsi="Book Antiqua" w:cs="Calibri"/>
          <w:color w:val="000000"/>
          <w:lang w:val="es-ES" w:eastAsia="zh-CN"/>
        </w:rPr>
        <w:t>Los documentos que forman parte integrante del presente Convenio:</w:t>
      </w:r>
    </w:p>
    <w:p w14:paraId="36BB7566" w14:textId="77777777" w:rsidR="005A02A1" w:rsidRPr="00C124C8" w:rsidRDefault="005A02A1" w:rsidP="005A02A1">
      <w:pPr>
        <w:tabs>
          <w:tab w:val="left" w:pos="567"/>
        </w:tabs>
        <w:autoSpaceDE w:val="0"/>
        <w:autoSpaceDN w:val="0"/>
        <w:adjustRightInd w:val="0"/>
        <w:spacing w:after="0"/>
        <w:ind w:left="380"/>
        <w:jc w:val="both"/>
        <w:rPr>
          <w:rFonts w:ascii="Book Antiqua" w:eastAsia="Times New Roman" w:hAnsi="Book Antiqua" w:cs="Calibri"/>
          <w:color w:val="000000"/>
          <w:lang w:val="es-ES" w:eastAsia="zh-CN"/>
        </w:rPr>
      </w:pPr>
    </w:p>
    <w:p w14:paraId="50938971" w14:textId="77777777" w:rsidR="005A02A1" w:rsidRPr="00C124C8" w:rsidRDefault="005A02A1" w:rsidP="005A02A1">
      <w:pPr>
        <w:numPr>
          <w:ilvl w:val="0"/>
          <w:numId w:val="13"/>
        </w:numPr>
        <w:autoSpaceDE w:val="0"/>
        <w:autoSpaceDN w:val="0"/>
        <w:adjustRightInd w:val="0"/>
        <w:spacing w:after="0"/>
        <w:jc w:val="both"/>
        <w:rPr>
          <w:rFonts w:ascii="Book Antiqua" w:eastAsia="Times New Roman" w:hAnsi="Book Antiqua" w:cs="Calibri"/>
          <w:color w:val="000000"/>
          <w:lang w:val="es-ES" w:eastAsia="zh-CN"/>
        </w:rPr>
      </w:pPr>
      <w:r w:rsidRPr="00C124C8">
        <w:rPr>
          <w:rFonts w:ascii="Book Antiqua" w:eastAsia="Times New Roman" w:hAnsi="Book Antiqua" w:cs="Calibri"/>
          <w:b/>
          <w:color w:val="000000"/>
          <w:lang w:val="es-ES" w:eastAsia="zh-CN"/>
        </w:rPr>
        <w:t>a)</w:t>
      </w:r>
      <w:r w:rsidRPr="00C124C8">
        <w:rPr>
          <w:rFonts w:ascii="Book Antiqua" w:eastAsia="Times New Roman" w:hAnsi="Book Antiqua" w:cs="Calibri"/>
          <w:color w:val="000000"/>
          <w:lang w:val="es-ES" w:eastAsia="zh-CN"/>
        </w:rPr>
        <w:t xml:space="preserve"> Los que acreditan la capacidad legal de los comparecientes. </w:t>
      </w:r>
    </w:p>
    <w:p w14:paraId="470CA784" w14:textId="77777777" w:rsidR="005A02A1" w:rsidRPr="00C124C8" w:rsidRDefault="005A02A1" w:rsidP="005A02A1">
      <w:pPr>
        <w:numPr>
          <w:ilvl w:val="0"/>
          <w:numId w:val="13"/>
        </w:numPr>
        <w:autoSpaceDE w:val="0"/>
        <w:autoSpaceDN w:val="0"/>
        <w:adjustRightInd w:val="0"/>
        <w:spacing w:after="0"/>
        <w:jc w:val="both"/>
        <w:rPr>
          <w:rFonts w:ascii="Book Antiqua" w:eastAsia="Times New Roman" w:hAnsi="Book Antiqua" w:cs="Calibri"/>
          <w:color w:val="000000"/>
          <w:lang w:val="es-ES" w:eastAsia="zh-CN"/>
        </w:rPr>
      </w:pPr>
      <w:r w:rsidRPr="00C124C8">
        <w:rPr>
          <w:rFonts w:ascii="Book Antiqua" w:eastAsia="Times New Roman" w:hAnsi="Book Antiqua" w:cs="Calibri"/>
          <w:b/>
          <w:color w:val="000000"/>
          <w:lang w:val="es-ES" w:eastAsia="zh-CN"/>
        </w:rPr>
        <w:t>b)</w:t>
      </w:r>
      <w:r w:rsidRPr="00C124C8">
        <w:rPr>
          <w:rFonts w:ascii="Book Antiqua" w:eastAsia="Times New Roman" w:hAnsi="Book Antiqua" w:cs="Calibri"/>
          <w:color w:val="000000"/>
          <w:lang w:val="es-ES" w:eastAsia="zh-CN"/>
        </w:rPr>
        <w:t xml:space="preserve"> Los documentos que se señalan en la cláusula primera denominada “ANTECEDENTES”.</w:t>
      </w:r>
    </w:p>
    <w:p w14:paraId="4B834945" w14:textId="77777777" w:rsidR="006E19B8" w:rsidRPr="00C124C8" w:rsidRDefault="006E19B8" w:rsidP="006E19B8">
      <w:pPr>
        <w:spacing w:line="276" w:lineRule="auto"/>
        <w:jc w:val="both"/>
        <w:rPr>
          <w:rFonts w:ascii="Book Antiqua" w:eastAsia="Calibri" w:hAnsi="Book Antiqua"/>
          <w:b/>
          <w:bCs/>
          <w:lang w:eastAsia="en-US"/>
        </w:rPr>
      </w:pPr>
    </w:p>
    <w:p w14:paraId="069EBF80" w14:textId="77777777" w:rsidR="006E19B8" w:rsidRPr="00C124C8" w:rsidRDefault="006E19B8" w:rsidP="006E19B8">
      <w:pPr>
        <w:spacing w:line="276" w:lineRule="auto"/>
        <w:jc w:val="both"/>
        <w:rPr>
          <w:rFonts w:ascii="Book Antiqua" w:eastAsia="Calibri" w:hAnsi="Book Antiqua"/>
          <w:b/>
          <w:bCs/>
          <w:lang w:eastAsia="en-US"/>
        </w:rPr>
      </w:pPr>
      <w:r w:rsidRPr="00C124C8">
        <w:rPr>
          <w:rFonts w:ascii="Book Antiqua" w:eastAsia="Calibri" w:hAnsi="Book Antiqua"/>
          <w:b/>
          <w:bCs/>
          <w:lang w:eastAsia="en-US"/>
        </w:rPr>
        <w:t xml:space="preserve">CLÁUSULA DÉCIMA </w:t>
      </w:r>
      <w:r w:rsidR="00C928EF">
        <w:rPr>
          <w:rFonts w:ascii="Book Antiqua" w:eastAsia="Calibri" w:hAnsi="Book Antiqua"/>
          <w:b/>
          <w:bCs/>
          <w:lang w:eastAsia="en-US"/>
        </w:rPr>
        <w:t>QUINTA</w:t>
      </w:r>
      <w:r w:rsidRPr="00C124C8">
        <w:rPr>
          <w:rFonts w:ascii="Book Antiqua" w:eastAsia="Calibri" w:hAnsi="Book Antiqua"/>
          <w:b/>
          <w:bCs/>
          <w:lang w:eastAsia="en-US"/>
        </w:rPr>
        <w:t xml:space="preserve">: </w:t>
      </w:r>
      <w:r w:rsidR="00C977D3" w:rsidRPr="00C124C8">
        <w:rPr>
          <w:rFonts w:ascii="Book Antiqua" w:eastAsia="Calibri" w:hAnsi="Book Antiqua"/>
          <w:b/>
          <w:bCs/>
          <w:lang w:eastAsia="en-US"/>
        </w:rPr>
        <w:t>ACEPTACIÓN. -</w:t>
      </w:r>
    </w:p>
    <w:p w14:paraId="13254667" w14:textId="77777777" w:rsidR="006E19B8" w:rsidRPr="00C124C8" w:rsidRDefault="006E19B8" w:rsidP="006E19B8">
      <w:pPr>
        <w:spacing w:line="276" w:lineRule="auto"/>
        <w:jc w:val="both"/>
        <w:rPr>
          <w:rFonts w:ascii="Book Antiqua" w:eastAsia="Calibri" w:hAnsi="Book Antiqua"/>
          <w:lang w:val="es-ES" w:eastAsia="en-US"/>
        </w:rPr>
      </w:pPr>
      <w:r w:rsidRPr="00C124C8">
        <w:rPr>
          <w:rFonts w:ascii="Book Antiqua" w:eastAsia="Calibri" w:hAnsi="Book Antiqua"/>
          <w:lang w:val="es-ES" w:eastAsia="en-US"/>
        </w:rPr>
        <w:t>Como constancia de conformidad con el contenido y alcance de todas y cada una de las cláusulas del presente Convenio, las partes firman al pie en unidad de acto, en sus respectivas calidades invocadas</w:t>
      </w:r>
      <w:r w:rsidR="0072682B" w:rsidRPr="00C124C8">
        <w:rPr>
          <w:rFonts w:ascii="Book Antiqua" w:eastAsia="Calibri" w:hAnsi="Book Antiqua"/>
          <w:lang w:val="es-ES" w:eastAsia="en-US"/>
        </w:rPr>
        <w:t>.</w:t>
      </w:r>
    </w:p>
    <w:p w14:paraId="180A9A0A" w14:textId="77777777" w:rsidR="006E19B8" w:rsidRDefault="006E19B8" w:rsidP="006E19B8">
      <w:pPr>
        <w:spacing w:line="276" w:lineRule="auto"/>
        <w:jc w:val="both"/>
        <w:rPr>
          <w:rFonts w:ascii="Book Antiqua" w:eastAsia="Calibri" w:hAnsi="Book Antiqua"/>
          <w:lang w:eastAsia="en-US"/>
        </w:rPr>
      </w:pPr>
      <w:r w:rsidRPr="00C124C8">
        <w:rPr>
          <w:rFonts w:ascii="Book Antiqua" w:eastAsia="Calibri" w:hAnsi="Book Antiqua"/>
          <w:lang w:eastAsia="en-US"/>
        </w:rPr>
        <w:t xml:space="preserve">En la ciudad de </w:t>
      </w:r>
      <w:r w:rsidR="00C928EF">
        <w:rPr>
          <w:rFonts w:ascii="Book Antiqua" w:eastAsia="Calibri" w:hAnsi="Book Antiqua"/>
          <w:lang w:eastAsia="en-US"/>
        </w:rPr>
        <w:t>xxxxxxxx</w:t>
      </w:r>
      <w:r w:rsidRPr="00C124C8">
        <w:rPr>
          <w:rFonts w:ascii="Book Antiqua" w:eastAsia="Calibri" w:hAnsi="Book Antiqua"/>
          <w:lang w:eastAsia="en-US"/>
        </w:rPr>
        <w:t>, a los</w:t>
      </w:r>
    </w:p>
    <w:p w14:paraId="69C42315" w14:textId="77777777" w:rsidR="00C928EF" w:rsidRDefault="00C928EF" w:rsidP="006E19B8">
      <w:pPr>
        <w:spacing w:line="276" w:lineRule="auto"/>
        <w:jc w:val="both"/>
        <w:rPr>
          <w:rFonts w:ascii="Book Antiqua" w:eastAsia="Calibri" w:hAnsi="Book Antiqua"/>
          <w:lang w:eastAsia="en-US"/>
        </w:rPr>
      </w:pPr>
    </w:p>
    <w:p w14:paraId="2482D856" w14:textId="77777777" w:rsidR="00C928EF" w:rsidRDefault="00C928EF" w:rsidP="006E19B8">
      <w:pPr>
        <w:spacing w:line="276" w:lineRule="auto"/>
        <w:jc w:val="both"/>
        <w:rPr>
          <w:rFonts w:ascii="Book Antiqua" w:eastAsia="Calibri" w:hAnsi="Book Antiqua"/>
          <w:lang w:eastAsia="en-US"/>
        </w:rPr>
      </w:pPr>
    </w:p>
    <w:p w14:paraId="4AB230CF" w14:textId="77777777" w:rsidR="00C928EF" w:rsidRPr="00C124C8" w:rsidRDefault="00C928EF" w:rsidP="006E19B8">
      <w:pPr>
        <w:spacing w:line="276" w:lineRule="auto"/>
        <w:jc w:val="both"/>
        <w:rPr>
          <w:rFonts w:ascii="Book Antiqua" w:eastAsia="Calibri" w:hAnsi="Book Antiqua"/>
          <w:lang w:eastAsia="en-US"/>
        </w:rPr>
      </w:pPr>
      <w:r>
        <w:rPr>
          <w:rFonts w:ascii="Book Antiqua" w:eastAsia="Calibri" w:hAnsi="Book Antiqua"/>
          <w:lang w:eastAsia="en-US"/>
        </w:rPr>
        <w:t>FIRMAS.</w:t>
      </w:r>
    </w:p>
    <w:p w14:paraId="31075FAC" w14:textId="77777777" w:rsidR="006E19B8" w:rsidRPr="00C124C8" w:rsidRDefault="006E19B8" w:rsidP="006E19B8">
      <w:pPr>
        <w:spacing w:line="276" w:lineRule="auto"/>
        <w:jc w:val="both"/>
        <w:rPr>
          <w:rFonts w:ascii="Book Antiqua" w:eastAsia="Calibri" w:hAnsi="Book Antiqua"/>
          <w:lang w:eastAsia="en-US"/>
        </w:rPr>
      </w:pPr>
    </w:p>
    <w:p w14:paraId="02EE2799" w14:textId="77777777" w:rsidR="006E19B8" w:rsidRPr="00C124C8" w:rsidRDefault="006E19B8" w:rsidP="006E19B8">
      <w:pPr>
        <w:spacing w:line="276" w:lineRule="auto"/>
        <w:jc w:val="both"/>
        <w:rPr>
          <w:rFonts w:ascii="Book Antiqua" w:eastAsia="Calibri" w:hAnsi="Book Antiqua"/>
          <w:lang w:eastAsia="en-US"/>
        </w:rPr>
      </w:pPr>
    </w:p>
    <w:p w14:paraId="0571D175" w14:textId="77777777" w:rsidR="006E19B8" w:rsidRPr="00C124C8" w:rsidRDefault="006E19B8" w:rsidP="006E19B8">
      <w:pPr>
        <w:spacing w:line="276" w:lineRule="auto"/>
        <w:jc w:val="both"/>
        <w:rPr>
          <w:rFonts w:ascii="Book Antiqua" w:eastAsia="Calibri" w:hAnsi="Book Antiqua"/>
          <w:lang w:eastAsia="en-US"/>
        </w:rPr>
      </w:pPr>
    </w:p>
    <w:p w14:paraId="7A7D23CF" w14:textId="77777777" w:rsidR="00C12277" w:rsidRPr="00C124C8" w:rsidRDefault="00C12277" w:rsidP="00C12277">
      <w:pPr>
        <w:jc w:val="both"/>
        <w:rPr>
          <w:rFonts w:ascii="Book Antiqua" w:hAnsi="Book Antiqua" w:cs="Arial"/>
        </w:rPr>
      </w:pPr>
    </w:p>
    <w:p w14:paraId="2DD3B6C6" w14:textId="77777777" w:rsidR="00147B70" w:rsidRPr="00C124C8" w:rsidRDefault="00147B70" w:rsidP="00882F4D">
      <w:pPr>
        <w:rPr>
          <w:rFonts w:ascii="Book Antiqua" w:hAnsi="Book Antiqua"/>
          <w:b/>
        </w:rPr>
      </w:pPr>
    </w:p>
    <w:sectPr w:rsidR="00147B70" w:rsidRPr="00C124C8" w:rsidSect="0032091E">
      <w:headerReference w:type="default" r:id="rId8"/>
      <w:pgSz w:w="12240" w:h="15840"/>
      <w:pgMar w:top="1440" w:right="1080" w:bottom="1440" w:left="1080" w:header="19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DCC0" w14:textId="77777777" w:rsidR="002320E2" w:rsidRDefault="002320E2" w:rsidP="003A2919">
      <w:pPr>
        <w:spacing w:after="0" w:line="240" w:lineRule="auto"/>
      </w:pPr>
      <w:r>
        <w:separator/>
      </w:r>
    </w:p>
  </w:endnote>
  <w:endnote w:type="continuationSeparator" w:id="0">
    <w:p w14:paraId="7CEF0FB7" w14:textId="77777777" w:rsidR="002320E2" w:rsidRDefault="002320E2" w:rsidP="003A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97F3" w14:textId="77777777" w:rsidR="002320E2" w:rsidRDefault="002320E2" w:rsidP="003A2919">
      <w:pPr>
        <w:spacing w:after="0" w:line="240" w:lineRule="auto"/>
      </w:pPr>
      <w:r>
        <w:separator/>
      </w:r>
    </w:p>
  </w:footnote>
  <w:footnote w:type="continuationSeparator" w:id="0">
    <w:p w14:paraId="6636AE78" w14:textId="77777777" w:rsidR="002320E2" w:rsidRDefault="002320E2" w:rsidP="003A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0F2C" w14:textId="77777777" w:rsidR="003A2919" w:rsidRDefault="000B7841" w:rsidP="00B300F1">
    <w:pPr>
      <w:pStyle w:val="Encabezado"/>
      <w:tabs>
        <w:tab w:val="clear" w:pos="4419"/>
        <w:tab w:val="clear" w:pos="8838"/>
        <w:tab w:val="left" w:pos="64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A4900"/>
    <w:multiLevelType w:val="hybridMultilevel"/>
    <w:tmpl w:val="BA0B9E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550616"/>
    <w:multiLevelType w:val="hybridMultilevel"/>
    <w:tmpl w:val="22E9D8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AFFC09"/>
    <w:multiLevelType w:val="hybridMultilevel"/>
    <w:tmpl w:val="DA670D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349F5"/>
    <w:multiLevelType w:val="hybridMultilevel"/>
    <w:tmpl w:val="2D62BF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A26A56"/>
    <w:multiLevelType w:val="multilevel"/>
    <w:tmpl w:val="5942C44E"/>
    <w:lvl w:ilvl="0">
      <w:start w:val="6"/>
      <w:numFmt w:val="decimal"/>
      <w:lvlText w:val="%1"/>
      <w:lvlJc w:val="left"/>
      <w:pPr>
        <w:ind w:left="405" w:hanging="405"/>
      </w:pPr>
    </w:lvl>
    <w:lvl w:ilvl="1">
      <w:start w:val="2"/>
      <w:numFmt w:val="decimal"/>
      <w:lvlText w:val="%1.%2"/>
      <w:lvlJc w:val="left"/>
      <w:pPr>
        <w:ind w:left="765" w:hanging="405"/>
      </w:pPr>
    </w:lvl>
    <w:lvl w:ilvl="2">
      <w:start w:val="1"/>
      <w:numFmt w:val="lowerLetter"/>
      <w:lvlText w:val="%3."/>
      <w:lvlJc w:val="left"/>
      <w:pPr>
        <w:ind w:left="1440" w:hanging="720"/>
      </w:pPr>
      <w:rPr>
        <w:b/>
        <w:bCs/>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287E2420"/>
    <w:multiLevelType w:val="hybridMultilevel"/>
    <w:tmpl w:val="36F246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D8208E0"/>
    <w:multiLevelType w:val="hybridMultilevel"/>
    <w:tmpl w:val="7884B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F43007"/>
    <w:multiLevelType w:val="hybridMultilevel"/>
    <w:tmpl w:val="D5268928"/>
    <w:lvl w:ilvl="0" w:tplc="3EB079EE">
      <w:start w:val="1"/>
      <w:numFmt w:val="lowerLetter"/>
      <w:lvlText w:val="%1)"/>
      <w:lvlJc w:val="left"/>
      <w:pPr>
        <w:ind w:left="720" w:hanging="360"/>
      </w:pPr>
      <w:rPr>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15:restartNumberingAfterBreak="0">
    <w:nsid w:val="31391AC4"/>
    <w:multiLevelType w:val="multilevel"/>
    <w:tmpl w:val="49F22B42"/>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C946C0"/>
    <w:multiLevelType w:val="hybridMultilevel"/>
    <w:tmpl w:val="779AED94"/>
    <w:lvl w:ilvl="0" w:tplc="D8D27AEC">
      <w:start w:val="1"/>
      <w:numFmt w:val="lowerLetter"/>
      <w:lvlText w:val="%1)"/>
      <w:lvlJc w:val="left"/>
      <w:pPr>
        <w:ind w:left="720" w:hanging="360"/>
      </w:pPr>
      <w:rPr>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0" w15:restartNumberingAfterBreak="0">
    <w:nsid w:val="457F52C7"/>
    <w:multiLevelType w:val="multilevel"/>
    <w:tmpl w:val="13C27C70"/>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411EF1"/>
    <w:multiLevelType w:val="hybridMultilevel"/>
    <w:tmpl w:val="8E4A36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CB16895"/>
    <w:multiLevelType w:val="hybridMultilevel"/>
    <w:tmpl w:val="28BE6F0C"/>
    <w:lvl w:ilvl="0" w:tplc="82E4F466">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5E15952"/>
    <w:multiLevelType w:val="hybridMultilevel"/>
    <w:tmpl w:val="D9DE9646"/>
    <w:lvl w:ilvl="0" w:tplc="65CA6FD2">
      <w:start w:val="1"/>
      <w:numFmt w:val="lowerLetter"/>
      <w:lvlText w:val="%1)"/>
      <w:lvlJc w:val="left"/>
      <w:pPr>
        <w:ind w:left="720" w:hanging="360"/>
      </w:pPr>
      <w:rPr>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15:restartNumberingAfterBreak="0">
    <w:nsid w:val="5B911800"/>
    <w:multiLevelType w:val="hybridMultilevel"/>
    <w:tmpl w:val="48AED214"/>
    <w:lvl w:ilvl="0" w:tplc="C81C90A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59F2BB3"/>
    <w:multiLevelType w:val="hybridMultilevel"/>
    <w:tmpl w:val="3B6858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D0620E1"/>
    <w:multiLevelType w:val="hybridMultilevel"/>
    <w:tmpl w:val="088EAA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EF67212"/>
    <w:multiLevelType w:val="hybridMultilevel"/>
    <w:tmpl w:val="A956B4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17"/>
  </w:num>
  <w:num w:numId="5">
    <w:abstractNumId w:val="16"/>
  </w:num>
  <w:num w:numId="6">
    <w:abstractNumId w:val="5"/>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2"/>
  </w:num>
  <w:num w:numId="14">
    <w:abstractNumId w:val="10"/>
  </w:num>
  <w:num w:numId="15">
    <w:abstractNumId w:val="3"/>
  </w:num>
  <w:num w:numId="16">
    <w:abstractNumId w:val="8"/>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19"/>
    <w:rsid w:val="000037B3"/>
    <w:rsid w:val="000249DD"/>
    <w:rsid w:val="00026BB2"/>
    <w:rsid w:val="00033292"/>
    <w:rsid w:val="00042D1C"/>
    <w:rsid w:val="00060985"/>
    <w:rsid w:val="000923DE"/>
    <w:rsid w:val="000B4291"/>
    <w:rsid w:val="000B7841"/>
    <w:rsid w:val="000D1447"/>
    <w:rsid w:val="000D5D18"/>
    <w:rsid w:val="000E3247"/>
    <w:rsid w:val="000F0400"/>
    <w:rsid w:val="000F0E74"/>
    <w:rsid w:val="0010260D"/>
    <w:rsid w:val="001232B0"/>
    <w:rsid w:val="00124A90"/>
    <w:rsid w:val="0012733D"/>
    <w:rsid w:val="00147B70"/>
    <w:rsid w:val="00166256"/>
    <w:rsid w:val="0017057C"/>
    <w:rsid w:val="00172890"/>
    <w:rsid w:val="00195261"/>
    <w:rsid w:val="001E2D6C"/>
    <w:rsid w:val="00211D9D"/>
    <w:rsid w:val="002320E2"/>
    <w:rsid w:val="00256362"/>
    <w:rsid w:val="00260D2F"/>
    <w:rsid w:val="00266886"/>
    <w:rsid w:val="0029295A"/>
    <w:rsid w:val="002A6129"/>
    <w:rsid w:val="002B2B8A"/>
    <w:rsid w:val="002C32E5"/>
    <w:rsid w:val="002D1C2E"/>
    <w:rsid w:val="002F55B2"/>
    <w:rsid w:val="002F6CD9"/>
    <w:rsid w:val="0032091E"/>
    <w:rsid w:val="003238FF"/>
    <w:rsid w:val="003258E7"/>
    <w:rsid w:val="00340493"/>
    <w:rsid w:val="0035151F"/>
    <w:rsid w:val="00356823"/>
    <w:rsid w:val="00360A25"/>
    <w:rsid w:val="003708ED"/>
    <w:rsid w:val="003953B4"/>
    <w:rsid w:val="003A2919"/>
    <w:rsid w:val="003C2060"/>
    <w:rsid w:val="003C3CF4"/>
    <w:rsid w:val="003C68A9"/>
    <w:rsid w:val="003E1354"/>
    <w:rsid w:val="003E7906"/>
    <w:rsid w:val="00430085"/>
    <w:rsid w:val="00440ADD"/>
    <w:rsid w:val="004433C2"/>
    <w:rsid w:val="004452DF"/>
    <w:rsid w:val="004B3D24"/>
    <w:rsid w:val="004D207D"/>
    <w:rsid w:val="004E76D5"/>
    <w:rsid w:val="005071CA"/>
    <w:rsid w:val="0053318C"/>
    <w:rsid w:val="00546995"/>
    <w:rsid w:val="00546F3F"/>
    <w:rsid w:val="00562492"/>
    <w:rsid w:val="00562981"/>
    <w:rsid w:val="00563827"/>
    <w:rsid w:val="005700AA"/>
    <w:rsid w:val="00570A7D"/>
    <w:rsid w:val="005714A1"/>
    <w:rsid w:val="005805DF"/>
    <w:rsid w:val="00597248"/>
    <w:rsid w:val="005A02A1"/>
    <w:rsid w:val="005E4B1E"/>
    <w:rsid w:val="005E703F"/>
    <w:rsid w:val="006134E8"/>
    <w:rsid w:val="006200E9"/>
    <w:rsid w:val="006204C5"/>
    <w:rsid w:val="00627240"/>
    <w:rsid w:val="006525E8"/>
    <w:rsid w:val="00663569"/>
    <w:rsid w:val="00686FA8"/>
    <w:rsid w:val="0069274A"/>
    <w:rsid w:val="006A5DCF"/>
    <w:rsid w:val="006B2AD4"/>
    <w:rsid w:val="006B6CB9"/>
    <w:rsid w:val="006D17CE"/>
    <w:rsid w:val="006E19B8"/>
    <w:rsid w:val="006F3C2A"/>
    <w:rsid w:val="006F4673"/>
    <w:rsid w:val="00721F44"/>
    <w:rsid w:val="0072682B"/>
    <w:rsid w:val="007477F0"/>
    <w:rsid w:val="007553C4"/>
    <w:rsid w:val="00790493"/>
    <w:rsid w:val="007A61D2"/>
    <w:rsid w:val="007B01E4"/>
    <w:rsid w:val="007B6193"/>
    <w:rsid w:val="007B6FDB"/>
    <w:rsid w:val="007C1D9E"/>
    <w:rsid w:val="007D2067"/>
    <w:rsid w:val="007E38A4"/>
    <w:rsid w:val="00800E5D"/>
    <w:rsid w:val="0080408D"/>
    <w:rsid w:val="00817C81"/>
    <w:rsid w:val="008208BD"/>
    <w:rsid w:val="00821EDE"/>
    <w:rsid w:val="00826ACD"/>
    <w:rsid w:val="00830772"/>
    <w:rsid w:val="0084626D"/>
    <w:rsid w:val="00850B6F"/>
    <w:rsid w:val="008660B9"/>
    <w:rsid w:val="008760FD"/>
    <w:rsid w:val="008775ED"/>
    <w:rsid w:val="00882F4D"/>
    <w:rsid w:val="008D42F2"/>
    <w:rsid w:val="009016AB"/>
    <w:rsid w:val="00926015"/>
    <w:rsid w:val="0094268D"/>
    <w:rsid w:val="00967DEA"/>
    <w:rsid w:val="009862A5"/>
    <w:rsid w:val="009B2145"/>
    <w:rsid w:val="009B7AF8"/>
    <w:rsid w:val="009C42EF"/>
    <w:rsid w:val="009D0672"/>
    <w:rsid w:val="009F5BA5"/>
    <w:rsid w:val="00A0726E"/>
    <w:rsid w:val="00A106CE"/>
    <w:rsid w:val="00A21D41"/>
    <w:rsid w:val="00A26B3D"/>
    <w:rsid w:val="00A26CD0"/>
    <w:rsid w:val="00A35A7D"/>
    <w:rsid w:val="00A5777D"/>
    <w:rsid w:val="00A64AAC"/>
    <w:rsid w:val="00A70F52"/>
    <w:rsid w:val="00AA66EE"/>
    <w:rsid w:val="00AB4769"/>
    <w:rsid w:val="00AE4202"/>
    <w:rsid w:val="00AE4335"/>
    <w:rsid w:val="00B15C1A"/>
    <w:rsid w:val="00B300F1"/>
    <w:rsid w:val="00B43CE5"/>
    <w:rsid w:val="00B5417C"/>
    <w:rsid w:val="00B67788"/>
    <w:rsid w:val="00B705E1"/>
    <w:rsid w:val="00B872FC"/>
    <w:rsid w:val="00B87BC2"/>
    <w:rsid w:val="00B93925"/>
    <w:rsid w:val="00B977F2"/>
    <w:rsid w:val="00BA49C9"/>
    <w:rsid w:val="00BB4F67"/>
    <w:rsid w:val="00BB50E6"/>
    <w:rsid w:val="00BC3315"/>
    <w:rsid w:val="00BE0AF0"/>
    <w:rsid w:val="00BE6E48"/>
    <w:rsid w:val="00C10F0C"/>
    <w:rsid w:val="00C12277"/>
    <w:rsid w:val="00C124C8"/>
    <w:rsid w:val="00C13A7F"/>
    <w:rsid w:val="00C17241"/>
    <w:rsid w:val="00C47310"/>
    <w:rsid w:val="00C53EA1"/>
    <w:rsid w:val="00C87AFA"/>
    <w:rsid w:val="00C928EF"/>
    <w:rsid w:val="00C977D3"/>
    <w:rsid w:val="00C97B75"/>
    <w:rsid w:val="00CB6EA0"/>
    <w:rsid w:val="00CD7F2F"/>
    <w:rsid w:val="00CF3EC7"/>
    <w:rsid w:val="00D20301"/>
    <w:rsid w:val="00D2089A"/>
    <w:rsid w:val="00D308D7"/>
    <w:rsid w:val="00D54320"/>
    <w:rsid w:val="00D5535F"/>
    <w:rsid w:val="00D575A5"/>
    <w:rsid w:val="00D72177"/>
    <w:rsid w:val="00D816A5"/>
    <w:rsid w:val="00D86B34"/>
    <w:rsid w:val="00D92311"/>
    <w:rsid w:val="00DE1538"/>
    <w:rsid w:val="00DE25B3"/>
    <w:rsid w:val="00E07499"/>
    <w:rsid w:val="00E1106B"/>
    <w:rsid w:val="00E155CF"/>
    <w:rsid w:val="00E327BD"/>
    <w:rsid w:val="00E44591"/>
    <w:rsid w:val="00E5766C"/>
    <w:rsid w:val="00E87175"/>
    <w:rsid w:val="00EB061B"/>
    <w:rsid w:val="00EE28F2"/>
    <w:rsid w:val="00EF311D"/>
    <w:rsid w:val="00EF6B29"/>
    <w:rsid w:val="00F000FA"/>
    <w:rsid w:val="00F17EF4"/>
    <w:rsid w:val="00F20D4F"/>
    <w:rsid w:val="00F359C0"/>
    <w:rsid w:val="00F35ECC"/>
    <w:rsid w:val="00F67166"/>
    <w:rsid w:val="00F73224"/>
    <w:rsid w:val="00F81554"/>
    <w:rsid w:val="00F81F16"/>
    <w:rsid w:val="00F84076"/>
    <w:rsid w:val="00FB14FF"/>
    <w:rsid w:val="00FB7EE5"/>
    <w:rsid w:val="00FF4E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BCF55"/>
  <w15:docId w15:val="{48263DAE-3B4C-4746-A58B-9C54B438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70"/>
    <w:pPr>
      <w:spacing w:after="160" w:line="259" w:lineRule="auto"/>
    </w:pPr>
    <w:rPr>
      <w:rFonts w:eastAsia="MS Mincho"/>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29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919"/>
  </w:style>
  <w:style w:type="paragraph" w:styleId="Piedepgina">
    <w:name w:val="footer"/>
    <w:basedOn w:val="Normal"/>
    <w:link w:val="PiedepginaCar"/>
    <w:uiPriority w:val="99"/>
    <w:unhideWhenUsed/>
    <w:rsid w:val="003A29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919"/>
  </w:style>
  <w:style w:type="paragraph" w:styleId="Prrafodelista">
    <w:name w:val="List Paragraph"/>
    <w:basedOn w:val="Normal"/>
    <w:uiPriority w:val="99"/>
    <w:qFormat/>
    <w:rsid w:val="00147B70"/>
    <w:pPr>
      <w:ind w:left="720"/>
      <w:contextualSpacing/>
    </w:pPr>
  </w:style>
  <w:style w:type="paragraph" w:customStyle="1" w:styleId="msonormalmailrucssattributepostfix">
    <w:name w:val="msonormal_mailru_css_attribute_postfix"/>
    <w:basedOn w:val="Normal"/>
    <w:rsid w:val="00147B70"/>
    <w:pPr>
      <w:spacing w:before="100" w:beforeAutospacing="1" w:after="100" w:afterAutospacing="1" w:line="240" w:lineRule="auto"/>
    </w:pPr>
    <w:rPr>
      <w:rFonts w:ascii="Times New Roman" w:eastAsia="Times New Roman" w:hAnsi="Times New Roman"/>
      <w:sz w:val="24"/>
      <w:szCs w:val="24"/>
      <w:u w:color="00000A"/>
    </w:rPr>
  </w:style>
  <w:style w:type="paragraph" w:styleId="NormalWeb">
    <w:name w:val="Normal (Web)"/>
    <w:basedOn w:val="Normal"/>
    <w:uiPriority w:val="99"/>
    <w:unhideWhenUsed/>
    <w:rsid w:val="00CF3EC7"/>
    <w:pPr>
      <w:spacing w:before="100" w:beforeAutospacing="1" w:after="100" w:afterAutospacing="1" w:line="240" w:lineRule="auto"/>
    </w:pPr>
    <w:rPr>
      <w:rFonts w:ascii="Times" w:hAnsi="Times"/>
      <w:sz w:val="20"/>
      <w:szCs w:val="20"/>
      <w:lang w:val="es-ES_tradnl" w:eastAsia="en-US"/>
    </w:rPr>
  </w:style>
  <w:style w:type="table" w:styleId="Tablaconcuadrcula">
    <w:name w:val="Table Grid"/>
    <w:basedOn w:val="Tablanormal"/>
    <w:uiPriority w:val="39"/>
    <w:rsid w:val="00F3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uiPriority w:val="99"/>
    <w:semiHidden/>
    <w:rsid w:val="00C12277"/>
    <w:rPr>
      <w:color w:val="808080"/>
    </w:rPr>
  </w:style>
  <w:style w:type="character" w:styleId="Refdecomentario">
    <w:name w:val="annotation reference"/>
    <w:uiPriority w:val="99"/>
    <w:semiHidden/>
    <w:unhideWhenUsed/>
    <w:rsid w:val="006E19B8"/>
    <w:rPr>
      <w:sz w:val="16"/>
      <w:szCs w:val="16"/>
    </w:rPr>
  </w:style>
  <w:style w:type="paragraph" w:styleId="Textocomentario">
    <w:name w:val="annotation text"/>
    <w:basedOn w:val="Normal"/>
    <w:link w:val="TextocomentarioCar"/>
    <w:uiPriority w:val="99"/>
    <w:semiHidden/>
    <w:unhideWhenUsed/>
    <w:rsid w:val="006E19B8"/>
    <w:rPr>
      <w:sz w:val="20"/>
      <w:szCs w:val="20"/>
    </w:rPr>
  </w:style>
  <w:style w:type="character" w:customStyle="1" w:styleId="TextocomentarioCar">
    <w:name w:val="Texto comentario Car"/>
    <w:link w:val="Textocomentario"/>
    <w:uiPriority w:val="99"/>
    <w:semiHidden/>
    <w:rsid w:val="006E19B8"/>
    <w:rPr>
      <w:rFonts w:eastAsia="MS Mincho"/>
    </w:rPr>
  </w:style>
  <w:style w:type="paragraph" w:styleId="Asuntodelcomentario">
    <w:name w:val="annotation subject"/>
    <w:basedOn w:val="Textocomentario"/>
    <w:next w:val="Textocomentario"/>
    <w:link w:val="AsuntodelcomentarioCar"/>
    <w:uiPriority w:val="99"/>
    <w:semiHidden/>
    <w:unhideWhenUsed/>
    <w:rsid w:val="006E19B8"/>
    <w:rPr>
      <w:b/>
      <w:bCs/>
    </w:rPr>
  </w:style>
  <w:style w:type="character" w:customStyle="1" w:styleId="AsuntodelcomentarioCar">
    <w:name w:val="Asunto del comentario Car"/>
    <w:link w:val="Asuntodelcomentario"/>
    <w:uiPriority w:val="99"/>
    <w:semiHidden/>
    <w:rsid w:val="006E19B8"/>
    <w:rPr>
      <w:rFonts w:eastAsia="MS Mincho"/>
      <w:b/>
      <w:bCs/>
    </w:rPr>
  </w:style>
  <w:style w:type="paragraph" w:styleId="Textodeglobo">
    <w:name w:val="Balloon Text"/>
    <w:basedOn w:val="Normal"/>
    <w:link w:val="TextodegloboCar"/>
    <w:uiPriority w:val="99"/>
    <w:semiHidden/>
    <w:unhideWhenUsed/>
    <w:rsid w:val="006E19B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E19B8"/>
    <w:rPr>
      <w:rFonts w:ascii="Segoe UI" w:eastAsia="MS Mincho" w:hAnsi="Segoe UI" w:cs="Segoe UI"/>
      <w:sz w:val="18"/>
      <w:szCs w:val="18"/>
    </w:rPr>
  </w:style>
  <w:style w:type="paragraph" w:customStyle="1" w:styleId="Default">
    <w:name w:val="Default"/>
    <w:rsid w:val="00B67788"/>
    <w:pPr>
      <w:autoSpaceDE w:val="0"/>
      <w:autoSpaceDN w:val="0"/>
      <w:adjustRightInd w:val="0"/>
    </w:pPr>
    <w:rPr>
      <w:rFonts w:ascii="Times New Roman" w:hAnsi="Times New Roman"/>
      <w:color w:val="000000"/>
      <w:sz w:val="24"/>
      <w:szCs w:val="24"/>
      <w:lang w:val="es-419" w:eastAsia="es-419"/>
    </w:rPr>
  </w:style>
  <w:style w:type="paragraph" w:styleId="Textoindependiente">
    <w:name w:val="Body Text"/>
    <w:basedOn w:val="Normal"/>
    <w:link w:val="TextoindependienteCar"/>
    <w:uiPriority w:val="1"/>
    <w:qFormat/>
    <w:rsid w:val="00356823"/>
    <w:pPr>
      <w:widowControl w:val="0"/>
      <w:autoSpaceDE w:val="0"/>
      <w:autoSpaceDN w:val="0"/>
      <w:spacing w:after="0" w:line="240" w:lineRule="auto"/>
    </w:pPr>
    <w:rPr>
      <w:rFonts w:ascii="Times New Roman" w:eastAsia="Times New Roman" w:hAnsi="Times New Roman"/>
      <w:lang w:val="es-ES" w:eastAsia="en-US"/>
    </w:rPr>
  </w:style>
  <w:style w:type="character" w:customStyle="1" w:styleId="TextoindependienteCar">
    <w:name w:val="Texto independiente Car"/>
    <w:link w:val="Textoindependiente"/>
    <w:uiPriority w:val="1"/>
    <w:rsid w:val="00356823"/>
    <w:rPr>
      <w:rFonts w:ascii="Times New Roman" w:eastAsia="Times New Roman" w:hAnsi="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3115602-D79C-48F9-A01B-DC8B08B7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2539</Words>
  <Characters>13969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arregui solis maria leonor</dc:creator>
  <cp:keywords/>
  <dc:description/>
  <cp:lastModifiedBy>Nathaly Padilla</cp:lastModifiedBy>
  <cp:revision>2</cp:revision>
  <dcterms:created xsi:type="dcterms:W3CDTF">2025-01-30T16:57:00Z</dcterms:created>
  <dcterms:modified xsi:type="dcterms:W3CDTF">2025-01-30T16:57:00Z</dcterms:modified>
</cp:coreProperties>
</file>